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060B1" w14:textId="77777777" w:rsidR="008200DD" w:rsidRDefault="008200DD" w:rsidP="008F0EAC">
      <w:pPr>
        <w:widowControl w:val="0"/>
        <w:tabs>
          <w:tab w:val="center" w:pos="4680"/>
        </w:tabs>
        <w:suppressAutoHyphens/>
        <w:autoSpaceDE w:val="0"/>
        <w:autoSpaceDN w:val="0"/>
        <w:spacing w:after="0" w:line="240" w:lineRule="auto"/>
        <w:jc w:val="center"/>
        <w:rPr>
          <w:rFonts w:ascii="Arial" w:eastAsia="Times New Roman" w:hAnsi="Arial" w:cs="Arial"/>
          <w:b/>
          <w:bCs/>
          <w:spacing w:val="-2"/>
          <w:sz w:val="24"/>
          <w:szCs w:val="24"/>
        </w:rPr>
      </w:pPr>
    </w:p>
    <w:p w14:paraId="235B1DE5" w14:textId="04A297A6" w:rsidR="008F0EAC" w:rsidRPr="00142DF6" w:rsidRDefault="00CE7ABC" w:rsidP="008F0EAC">
      <w:pPr>
        <w:widowControl w:val="0"/>
        <w:tabs>
          <w:tab w:val="center" w:pos="4680"/>
        </w:tabs>
        <w:suppressAutoHyphens/>
        <w:autoSpaceDE w:val="0"/>
        <w:autoSpaceDN w:val="0"/>
        <w:spacing w:after="0" w:line="240" w:lineRule="auto"/>
        <w:jc w:val="center"/>
        <w:rPr>
          <w:rFonts w:ascii="Arial" w:eastAsia="Times New Roman" w:hAnsi="Arial" w:cs="Arial"/>
          <w:b/>
          <w:bCs/>
          <w:spacing w:val="-2"/>
          <w:sz w:val="24"/>
          <w:szCs w:val="24"/>
        </w:rPr>
      </w:pPr>
      <w:r>
        <w:rPr>
          <w:rFonts w:ascii="Arial" w:eastAsia="Times New Roman" w:hAnsi="Arial" w:cs="Arial"/>
          <w:b/>
          <w:bCs/>
          <w:spacing w:val="-2"/>
          <w:sz w:val="24"/>
          <w:szCs w:val="24"/>
        </w:rPr>
        <w:t xml:space="preserve">Rental </w:t>
      </w:r>
      <w:r w:rsidR="00AD6AD5" w:rsidRPr="00076D78">
        <w:rPr>
          <w:rFonts w:ascii="Arial" w:hAnsi="Arial" w:cs="Arial"/>
          <w:b/>
          <w:bCs/>
          <w:spacing w:val="-2"/>
          <w:sz w:val="24"/>
          <w:szCs w:val="24"/>
        </w:rPr>
        <w:t>Program Guidelines Checklist</w:t>
      </w:r>
      <w:r w:rsidR="00AD6AD5">
        <w:rPr>
          <w:rFonts w:ascii="Arial" w:hAnsi="Arial" w:cs="Arial"/>
          <w:b/>
          <w:bCs/>
          <w:spacing w:val="-2"/>
          <w:sz w:val="24"/>
          <w:szCs w:val="24"/>
        </w:rPr>
        <w:t xml:space="preserve"> for Project #_____________________</w:t>
      </w:r>
    </w:p>
    <w:p w14:paraId="7996A6EA" w14:textId="77777777" w:rsidR="00247547" w:rsidRPr="00CB6616" w:rsidRDefault="00247547" w:rsidP="00247547">
      <w:pPr>
        <w:tabs>
          <w:tab w:val="center" w:pos="4320"/>
          <w:tab w:val="right" w:pos="8640"/>
        </w:tabs>
        <w:spacing w:after="0" w:line="240" w:lineRule="auto"/>
        <w:ind w:left="-90" w:right="-90"/>
        <w:rPr>
          <w:rFonts w:ascii="Arial" w:eastAsia="Times New Roman" w:hAnsi="Arial" w:cs="Arial"/>
          <w:b/>
          <w:sz w:val="14"/>
          <w:szCs w:val="14"/>
        </w:rPr>
      </w:pPr>
    </w:p>
    <w:p w14:paraId="1A3CE876" w14:textId="206776F7" w:rsidR="00644247" w:rsidRPr="00CB6616" w:rsidRDefault="00AD6AD5" w:rsidP="00EC37BA">
      <w:pPr>
        <w:pStyle w:val="Header"/>
        <w:ind w:left="-540" w:right="288"/>
        <w:rPr>
          <w:rFonts w:ascii="Arial" w:hAnsi="Arial" w:cs="Arial"/>
          <w:sz w:val="22"/>
          <w:szCs w:val="22"/>
        </w:rPr>
      </w:pPr>
      <w:r w:rsidRPr="00CB6616">
        <w:rPr>
          <w:rFonts w:ascii="Arial" w:hAnsi="Arial" w:cs="Arial"/>
          <w:b/>
          <w:sz w:val="22"/>
          <w:szCs w:val="22"/>
        </w:rPr>
        <w:t>Instructions:</w:t>
      </w:r>
      <w:r w:rsidRPr="00CB6616">
        <w:rPr>
          <w:rFonts w:ascii="Arial" w:hAnsi="Arial" w:cs="Arial"/>
          <w:sz w:val="22"/>
          <w:szCs w:val="22"/>
        </w:rPr>
        <w:t xml:space="preserve"> Program Guidelines </w:t>
      </w:r>
      <w:r w:rsidR="00292520">
        <w:rPr>
          <w:rFonts w:ascii="Arial" w:hAnsi="Arial" w:cs="Arial"/>
          <w:sz w:val="22"/>
          <w:szCs w:val="22"/>
        </w:rPr>
        <w:t>will</w:t>
      </w:r>
      <w:r w:rsidR="00292520" w:rsidRPr="00CB6616">
        <w:rPr>
          <w:rFonts w:ascii="Arial" w:hAnsi="Arial" w:cs="Arial"/>
          <w:sz w:val="22"/>
          <w:szCs w:val="22"/>
        </w:rPr>
        <w:t xml:space="preserve"> </w:t>
      </w:r>
      <w:r w:rsidRPr="00CB6616">
        <w:rPr>
          <w:rFonts w:ascii="Arial" w:hAnsi="Arial" w:cs="Arial"/>
          <w:sz w:val="22"/>
          <w:szCs w:val="22"/>
        </w:rPr>
        <w:t>include all items below. Indicate where each is found in the program guidelines by listing both section and page</w:t>
      </w:r>
      <w:r w:rsidR="00292520">
        <w:rPr>
          <w:rFonts w:ascii="Arial" w:hAnsi="Arial" w:cs="Arial"/>
          <w:sz w:val="22"/>
          <w:szCs w:val="22"/>
        </w:rPr>
        <w:t xml:space="preserve"> </w:t>
      </w:r>
      <w:r w:rsidRPr="00CB6616">
        <w:rPr>
          <w:rFonts w:ascii="Arial" w:hAnsi="Arial" w:cs="Arial"/>
          <w:sz w:val="22"/>
          <w:szCs w:val="22"/>
        </w:rPr>
        <w:t># on the checklist.</w:t>
      </w:r>
      <w:r w:rsidR="00644247" w:rsidRPr="00CB6616">
        <w:rPr>
          <w:rFonts w:ascii="Arial" w:hAnsi="Arial" w:cs="Arial"/>
          <w:sz w:val="22"/>
          <w:szCs w:val="22"/>
        </w:rPr>
        <w:t xml:space="preserve"> Depending on the project, DED may request additional items be included in the project’s program guidelines before approval.</w:t>
      </w:r>
      <w:bookmarkStart w:id="0" w:name="_Hlk126567625"/>
      <w:r w:rsidR="002B29A9" w:rsidRPr="002B29A9">
        <w:rPr>
          <w:rFonts w:ascii="Arial" w:hAnsi="Arial" w:cs="Arial"/>
          <w:b/>
          <w:bCs/>
        </w:rPr>
        <w:t xml:space="preserve"> </w:t>
      </w:r>
      <w:r w:rsidR="002B29A9" w:rsidRPr="00C27BC1">
        <w:rPr>
          <w:rFonts w:ascii="Arial" w:hAnsi="Arial" w:cs="Arial"/>
          <w:b/>
          <w:bCs/>
        </w:rPr>
        <w:t xml:space="preserve">Title page must include </w:t>
      </w:r>
      <w:r w:rsidR="002B29A9">
        <w:rPr>
          <w:rFonts w:ascii="Arial" w:hAnsi="Arial" w:cs="Arial"/>
          <w:b/>
          <w:bCs/>
        </w:rPr>
        <w:t xml:space="preserve">Applicant Name, </w:t>
      </w:r>
      <w:r w:rsidR="002B29A9" w:rsidRPr="00C27BC1">
        <w:rPr>
          <w:rFonts w:ascii="Arial" w:hAnsi="Arial" w:cs="Arial"/>
          <w:b/>
          <w:bCs/>
        </w:rPr>
        <w:t>Award #</w:t>
      </w:r>
      <w:r w:rsidR="002B29A9">
        <w:rPr>
          <w:rFonts w:ascii="Arial" w:hAnsi="Arial" w:cs="Arial"/>
          <w:b/>
          <w:bCs/>
        </w:rPr>
        <w:t xml:space="preserve"> (if awarded)</w:t>
      </w:r>
      <w:r w:rsidR="002B29A9" w:rsidRPr="00C27BC1">
        <w:rPr>
          <w:rFonts w:ascii="Arial" w:hAnsi="Arial" w:cs="Arial"/>
          <w:b/>
          <w:bCs/>
        </w:rPr>
        <w:t xml:space="preserve"> and Date.</w:t>
      </w:r>
      <w:bookmarkEnd w:id="0"/>
    </w:p>
    <w:p w14:paraId="27E76C5E" w14:textId="77777777" w:rsidR="008F0EAC" w:rsidRPr="00CB6616" w:rsidRDefault="008F0EAC" w:rsidP="008F0EAC">
      <w:pPr>
        <w:tabs>
          <w:tab w:val="center" w:pos="4320"/>
          <w:tab w:val="right" w:pos="8640"/>
        </w:tabs>
        <w:spacing w:after="0" w:line="240" w:lineRule="auto"/>
        <w:rPr>
          <w:rFonts w:ascii="Arial" w:eastAsia="Times New Roman" w:hAnsi="Arial" w:cs="Arial"/>
          <w:b/>
          <w:bCs/>
          <w:spacing w:val="-2"/>
          <w:sz w:val="14"/>
          <w:szCs w:val="14"/>
        </w:rPr>
      </w:pPr>
    </w:p>
    <w:tbl>
      <w:tblPr>
        <w:tblW w:w="1474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0"/>
        <w:gridCol w:w="990"/>
        <w:gridCol w:w="540"/>
        <w:gridCol w:w="796"/>
      </w:tblGrid>
      <w:tr w:rsidR="0059039F" w:rsidRPr="00142DF6" w14:paraId="07D0E152" w14:textId="77777777" w:rsidTr="0053207D">
        <w:trPr>
          <w:trHeight w:val="431"/>
        </w:trPr>
        <w:tc>
          <w:tcPr>
            <w:tcW w:w="12420" w:type="dxa"/>
          </w:tcPr>
          <w:p w14:paraId="74350C24" w14:textId="1088F117" w:rsidR="00AD6AD5" w:rsidRPr="00CF2248" w:rsidRDefault="00AD6AD5" w:rsidP="00CF2248">
            <w:pPr>
              <w:widowControl w:val="0"/>
              <w:tabs>
                <w:tab w:val="right" w:pos="9360"/>
              </w:tabs>
              <w:suppressAutoHyphens/>
              <w:autoSpaceDE w:val="0"/>
              <w:autoSpaceDN w:val="0"/>
              <w:spacing w:after="0" w:line="240" w:lineRule="auto"/>
              <w:rPr>
                <w:rFonts w:ascii="Arial" w:eastAsia="Times New Roman" w:hAnsi="Arial" w:cs="Arial"/>
                <w:b/>
                <w:spacing w:val="-2"/>
                <w:sz w:val="24"/>
                <w:szCs w:val="24"/>
              </w:rPr>
            </w:pPr>
            <w:r w:rsidRPr="00CF2248">
              <w:rPr>
                <w:rFonts w:ascii="Arial" w:eastAsia="Times New Roman" w:hAnsi="Arial" w:cs="Arial"/>
                <w:b/>
                <w:spacing w:val="-2"/>
                <w:sz w:val="24"/>
                <w:szCs w:val="24"/>
              </w:rPr>
              <w:t>The following requirements are addressed in the Program Guidelines</w:t>
            </w:r>
            <w:r w:rsidR="00D05470" w:rsidRPr="00CF2248">
              <w:rPr>
                <w:rFonts w:ascii="Arial" w:eastAsia="Times New Roman" w:hAnsi="Arial" w:cs="Arial"/>
                <w:b/>
                <w:spacing w:val="-2"/>
                <w:sz w:val="24"/>
                <w:szCs w:val="24"/>
              </w:rPr>
              <w:t xml:space="preserve"> </w:t>
            </w:r>
          </w:p>
        </w:tc>
        <w:tc>
          <w:tcPr>
            <w:tcW w:w="990" w:type="dxa"/>
          </w:tcPr>
          <w:p w14:paraId="321FB18C" w14:textId="77777777" w:rsidR="00247547" w:rsidRPr="00336453" w:rsidRDefault="00247547" w:rsidP="00336453">
            <w:pPr>
              <w:widowControl w:val="0"/>
              <w:tabs>
                <w:tab w:val="right" w:pos="9360"/>
              </w:tabs>
              <w:suppressAutoHyphens/>
              <w:autoSpaceDE w:val="0"/>
              <w:autoSpaceDN w:val="0"/>
              <w:spacing w:after="0" w:line="240" w:lineRule="auto"/>
              <w:ind w:right="-18"/>
              <w:rPr>
                <w:rFonts w:ascii="Arial" w:eastAsia="Times New Roman" w:hAnsi="Arial" w:cs="Arial"/>
                <w:b/>
                <w:spacing w:val="-2"/>
              </w:rPr>
            </w:pPr>
            <w:r w:rsidRPr="00336453">
              <w:rPr>
                <w:rFonts w:ascii="Arial" w:eastAsia="Times New Roman" w:hAnsi="Arial" w:cs="Arial"/>
                <w:b/>
                <w:spacing w:val="-2"/>
              </w:rPr>
              <w:t>Section</w:t>
            </w:r>
          </w:p>
        </w:tc>
        <w:tc>
          <w:tcPr>
            <w:tcW w:w="540" w:type="dxa"/>
            <w:shd w:val="clear" w:color="auto" w:fill="auto"/>
          </w:tcPr>
          <w:p w14:paraId="04EB1411" w14:textId="77777777" w:rsidR="00247547" w:rsidRPr="00336453" w:rsidRDefault="00247547" w:rsidP="00CF2248">
            <w:pPr>
              <w:widowControl w:val="0"/>
              <w:tabs>
                <w:tab w:val="right" w:pos="9360"/>
              </w:tabs>
              <w:suppressAutoHyphens/>
              <w:autoSpaceDE w:val="0"/>
              <w:autoSpaceDN w:val="0"/>
              <w:spacing w:after="0" w:line="240" w:lineRule="auto"/>
              <w:jc w:val="center"/>
              <w:rPr>
                <w:rFonts w:ascii="Arial" w:eastAsia="Times New Roman" w:hAnsi="Arial" w:cs="Arial"/>
                <w:b/>
                <w:spacing w:val="-2"/>
                <w:sz w:val="20"/>
                <w:szCs w:val="20"/>
              </w:rPr>
            </w:pPr>
            <w:r w:rsidRPr="00336453">
              <w:rPr>
                <w:rFonts w:ascii="Arial" w:eastAsia="Times New Roman" w:hAnsi="Arial" w:cs="Arial"/>
                <w:b/>
                <w:spacing w:val="-2"/>
                <w:sz w:val="20"/>
                <w:szCs w:val="20"/>
              </w:rPr>
              <w:t>NA</w:t>
            </w:r>
          </w:p>
        </w:tc>
        <w:tc>
          <w:tcPr>
            <w:tcW w:w="796" w:type="dxa"/>
            <w:shd w:val="clear" w:color="auto" w:fill="auto"/>
          </w:tcPr>
          <w:p w14:paraId="496D793C" w14:textId="219E70ED" w:rsidR="00247547" w:rsidRPr="00142DF6" w:rsidRDefault="00247547" w:rsidP="00CF2248">
            <w:pPr>
              <w:widowControl w:val="0"/>
              <w:tabs>
                <w:tab w:val="right" w:pos="9360"/>
              </w:tabs>
              <w:suppressAutoHyphens/>
              <w:autoSpaceDE w:val="0"/>
              <w:autoSpaceDN w:val="0"/>
              <w:spacing w:after="0" w:line="240" w:lineRule="auto"/>
              <w:jc w:val="center"/>
              <w:rPr>
                <w:rFonts w:ascii="Arial" w:eastAsia="Times New Roman" w:hAnsi="Arial" w:cs="Arial"/>
                <w:b/>
                <w:spacing w:val="-2"/>
                <w:sz w:val="24"/>
                <w:szCs w:val="24"/>
              </w:rPr>
            </w:pPr>
            <w:r w:rsidRPr="00336453">
              <w:rPr>
                <w:rFonts w:ascii="Arial" w:eastAsia="Times New Roman" w:hAnsi="Arial" w:cs="Arial"/>
                <w:b/>
                <w:spacing w:val="-2"/>
              </w:rPr>
              <w:t>Page</w:t>
            </w:r>
            <w:r w:rsidRPr="00142DF6">
              <w:rPr>
                <w:rFonts w:ascii="Arial" w:eastAsia="Times New Roman" w:hAnsi="Arial" w:cs="Arial"/>
                <w:b/>
                <w:spacing w:val="-2"/>
                <w:sz w:val="24"/>
                <w:szCs w:val="24"/>
              </w:rPr>
              <w:t xml:space="preserve"> </w:t>
            </w:r>
          </w:p>
        </w:tc>
      </w:tr>
      <w:tr w:rsidR="008200DD" w:rsidRPr="00142DF6" w14:paraId="6641A7F9" w14:textId="77777777" w:rsidTr="005460D2">
        <w:trPr>
          <w:trHeight w:val="145"/>
        </w:trPr>
        <w:tc>
          <w:tcPr>
            <w:tcW w:w="12420" w:type="dxa"/>
          </w:tcPr>
          <w:p w14:paraId="7360B731" w14:textId="706FEAA0" w:rsidR="00247547" w:rsidRPr="00B4161C" w:rsidRDefault="00CF2248" w:rsidP="008200DD">
            <w:pPr>
              <w:pStyle w:val="NoSpacing"/>
              <w:numPr>
                <w:ilvl w:val="0"/>
                <w:numId w:val="3"/>
              </w:numPr>
              <w:ind w:right="-18"/>
              <w:rPr>
                <w:rFonts w:ascii="Arial" w:hAnsi="Arial" w:cs="Arial"/>
                <w:sz w:val="20"/>
                <w:szCs w:val="20"/>
              </w:rPr>
            </w:pPr>
            <w:r w:rsidRPr="005460D2">
              <w:rPr>
                <w:rFonts w:ascii="Arial" w:hAnsi="Arial" w:cs="Arial"/>
              </w:rPr>
              <w:t>Application Review Process</w:t>
            </w:r>
            <w:r w:rsidR="008B2EBF" w:rsidRPr="005460D2">
              <w:rPr>
                <w:rFonts w:ascii="Arial" w:hAnsi="Arial" w:cs="Arial"/>
              </w:rPr>
              <w:t xml:space="preserve"> </w:t>
            </w:r>
            <w:r w:rsidR="003F1C8A" w:rsidRPr="005460D2">
              <w:rPr>
                <w:rFonts w:ascii="Arial" w:hAnsi="Arial" w:cs="Arial"/>
              </w:rPr>
              <w:t>–</w:t>
            </w:r>
            <w:r w:rsidR="00D05470" w:rsidRPr="005460D2">
              <w:rPr>
                <w:rFonts w:ascii="Arial" w:hAnsi="Arial" w:cs="Arial"/>
              </w:rPr>
              <w:t xml:space="preserve"> </w:t>
            </w:r>
            <w:r w:rsidRPr="005460D2">
              <w:rPr>
                <w:rFonts w:ascii="Arial" w:hAnsi="Arial" w:cs="Arial"/>
              </w:rPr>
              <w:t>Describe process for taking in and reviewing applications and if there is a Priority Ranking System used for selection.  If using ranking system, guidelines must describe system and it may not include discriminatory criteria.</w:t>
            </w:r>
            <w:r>
              <w:rPr>
                <w:rFonts w:ascii="Arial" w:hAnsi="Arial" w:cs="Arial"/>
              </w:rPr>
              <w:t xml:space="preserve"> </w:t>
            </w:r>
          </w:p>
        </w:tc>
        <w:tc>
          <w:tcPr>
            <w:tcW w:w="990" w:type="dxa"/>
          </w:tcPr>
          <w:p w14:paraId="6060B9AD" w14:textId="77777777" w:rsidR="00247547" w:rsidRPr="005450CB" w:rsidRDefault="00247547" w:rsidP="008F0EAC">
            <w:pPr>
              <w:widowControl w:val="0"/>
              <w:tabs>
                <w:tab w:val="right" w:pos="9360"/>
              </w:tabs>
              <w:suppressAutoHyphens/>
              <w:autoSpaceDE w:val="0"/>
              <w:autoSpaceDN w:val="0"/>
              <w:spacing w:after="0" w:line="240" w:lineRule="auto"/>
              <w:rPr>
                <w:rFonts w:ascii="Arial" w:eastAsia="Times New Roman" w:hAnsi="Arial" w:cs="Arial"/>
                <w:spacing w:val="-2"/>
                <w:sz w:val="20"/>
                <w:szCs w:val="20"/>
              </w:rPr>
            </w:pPr>
          </w:p>
        </w:tc>
        <w:tc>
          <w:tcPr>
            <w:tcW w:w="540" w:type="dxa"/>
            <w:shd w:val="clear" w:color="auto" w:fill="auto"/>
          </w:tcPr>
          <w:p w14:paraId="79C00AD2" w14:textId="77777777" w:rsidR="00247547" w:rsidRPr="00142DF6" w:rsidRDefault="00247547" w:rsidP="008F0EAC">
            <w:pPr>
              <w:widowControl w:val="0"/>
              <w:tabs>
                <w:tab w:val="right" w:pos="9360"/>
              </w:tabs>
              <w:suppressAutoHyphens/>
              <w:autoSpaceDE w:val="0"/>
              <w:autoSpaceDN w:val="0"/>
              <w:spacing w:after="0" w:line="240" w:lineRule="auto"/>
              <w:rPr>
                <w:rFonts w:ascii="Arial" w:eastAsia="Times New Roman" w:hAnsi="Arial" w:cs="Arial"/>
                <w:spacing w:val="-2"/>
                <w:sz w:val="24"/>
                <w:szCs w:val="24"/>
              </w:rPr>
            </w:pPr>
          </w:p>
        </w:tc>
        <w:tc>
          <w:tcPr>
            <w:tcW w:w="796" w:type="dxa"/>
            <w:shd w:val="clear" w:color="auto" w:fill="auto"/>
          </w:tcPr>
          <w:p w14:paraId="576C067C" w14:textId="77777777" w:rsidR="00247547" w:rsidRPr="00142DF6" w:rsidRDefault="00247547" w:rsidP="008F0EAC">
            <w:pPr>
              <w:widowControl w:val="0"/>
              <w:tabs>
                <w:tab w:val="right" w:pos="9360"/>
              </w:tabs>
              <w:suppressAutoHyphens/>
              <w:autoSpaceDE w:val="0"/>
              <w:autoSpaceDN w:val="0"/>
              <w:spacing w:after="0" w:line="240" w:lineRule="auto"/>
              <w:rPr>
                <w:rFonts w:ascii="Arial" w:eastAsia="Times New Roman" w:hAnsi="Arial" w:cs="Arial"/>
                <w:spacing w:val="-2"/>
                <w:sz w:val="24"/>
                <w:szCs w:val="24"/>
              </w:rPr>
            </w:pPr>
          </w:p>
        </w:tc>
      </w:tr>
      <w:tr w:rsidR="00CF2248" w:rsidRPr="00142DF6" w14:paraId="38723FAF" w14:textId="77777777" w:rsidTr="005460D2">
        <w:trPr>
          <w:trHeight w:val="145"/>
        </w:trPr>
        <w:tc>
          <w:tcPr>
            <w:tcW w:w="12420" w:type="dxa"/>
          </w:tcPr>
          <w:p w14:paraId="5AC357CB" w14:textId="2F4003DD" w:rsidR="00CF2248" w:rsidRPr="00B4161C" w:rsidRDefault="00CF2248" w:rsidP="008200DD">
            <w:pPr>
              <w:pStyle w:val="NoSpacing"/>
              <w:numPr>
                <w:ilvl w:val="0"/>
                <w:numId w:val="3"/>
              </w:numPr>
              <w:ind w:right="-18"/>
              <w:rPr>
                <w:rFonts w:ascii="Arial" w:hAnsi="Arial" w:cs="Arial"/>
              </w:rPr>
            </w:pPr>
            <w:r w:rsidRPr="00B4161C">
              <w:rPr>
                <w:rFonts w:ascii="Arial" w:hAnsi="Arial" w:cs="Arial"/>
              </w:rPr>
              <w:t>Maximum Per Unit Subsidy –</w:t>
            </w:r>
            <w:r>
              <w:rPr>
                <w:rFonts w:ascii="Arial" w:hAnsi="Arial" w:cs="Arial"/>
              </w:rPr>
              <w:t xml:space="preserve"> NAHTF financial assistance for new construction and conversion projects will not exceed the maximum NAHTF per unit subsidy</w:t>
            </w:r>
            <w:r w:rsidRPr="00B4161C">
              <w:rPr>
                <w:rFonts w:ascii="Arial" w:hAnsi="Arial" w:cs="Arial"/>
              </w:rPr>
              <w:t xml:space="preserve"> adjusted for </w:t>
            </w:r>
            <w:r>
              <w:rPr>
                <w:rFonts w:ascii="Arial" w:hAnsi="Arial" w:cs="Arial"/>
              </w:rPr>
              <w:t xml:space="preserve">number of </w:t>
            </w:r>
            <w:r w:rsidRPr="00B4161C">
              <w:rPr>
                <w:rFonts w:ascii="Arial" w:hAnsi="Arial" w:cs="Arial"/>
              </w:rPr>
              <w:t>bedroom</w:t>
            </w:r>
            <w:r>
              <w:rPr>
                <w:rFonts w:ascii="Arial" w:hAnsi="Arial" w:cs="Arial"/>
              </w:rPr>
              <w:t>s.  HUD HOME subsidy limits are used and</w:t>
            </w:r>
            <w:r w:rsidRPr="00B4161C">
              <w:rPr>
                <w:rFonts w:ascii="Arial" w:hAnsi="Arial" w:cs="Arial"/>
              </w:rPr>
              <w:t xml:space="preserve"> can be found on the DED website (</w:t>
            </w:r>
            <w:hyperlink r:id="rId8" w:history="1">
              <w:r w:rsidRPr="00B4161C">
                <w:rPr>
                  <w:rStyle w:val="Hyperlink"/>
                  <w:rFonts w:ascii="Arial" w:hAnsi="Arial" w:cs="Arial"/>
                </w:rPr>
                <w:t>NAHTF webpage</w:t>
              </w:r>
            </w:hyperlink>
            <w:r w:rsidRPr="00B4161C">
              <w:rPr>
                <w:rFonts w:ascii="Arial" w:hAnsi="Arial" w:cs="Arial"/>
              </w:rPr>
              <w:t xml:space="preserve">). </w:t>
            </w:r>
            <w:r>
              <w:rPr>
                <w:rFonts w:ascii="Arial" w:hAnsi="Arial" w:cs="Arial"/>
              </w:rPr>
              <w:t>Rehabilitation projects will state the amount of NAHTF-assisted Rehabilitation allowed per unit. (202</w:t>
            </w:r>
            <w:r w:rsidR="00412637">
              <w:rPr>
                <w:rFonts w:ascii="Arial" w:hAnsi="Arial" w:cs="Arial"/>
              </w:rPr>
              <w:t>4</w:t>
            </w:r>
            <w:r>
              <w:rPr>
                <w:rFonts w:ascii="Arial" w:hAnsi="Arial" w:cs="Arial"/>
              </w:rPr>
              <w:t xml:space="preserve"> - $40,000).</w:t>
            </w:r>
          </w:p>
        </w:tc>
        <w:tc>
          <w:tcPr>
            <w:tcW w:w="990" w:type="dxa"/>
          </w:tcPr>
          <w:p w14:paraId="130BF412" w14:textId="77777777" w:rsidR="00CF2248" w:rsidRPr="005450CB" w:rsidRDefault="00CF2248" w:rsidP="008F0EAC">
            <w:pPr>
              <w:widowControl w:val="0"/>
              <w:tabs>
                <w:tab w:val="right" w:pos="9360"/>
              </w:tabs>
              <w:suppressAutoHyphens/>
              <w:autoSpaceDE w:val="0"/>
              <w:autoSpaceDN w:val="0"/>
              <w:spacing w:after="0" w:line="240" w:lineRule="auto"/>
              <w:rPr>
                <w:rFonts w:ascii="Arial" w:eastAsia="Times New Roman" w:hAnsi="Arial" w:cs="Arial"/>
                <w:spacing w:val="-2"/>
                <w:sz w:val="20"/>
                <w:szCs w:val="20"/>
              </w:rPr>
            </w:pPr>
          </w:p>
        </w:tc>
        <w:tc>
          <w:tcPr>
            <w:tcW w:w="540" w:type="dxa"/>
            <w:shd w:val="clear" w:color="auto" w:fill="auto"/>
          </w:tcPr>
          <w:p w14:paraId="4C9F218B" w14:textId="77777777" w:rsidR="00CF2248" w:rsidRPr="00142DF6" w:rsidRDefault="00CF2248" w:rsidP="008F0EAC">
            <w:pPr>
              <w:widowControl w:val="0"/>
              <w:tabs>
                <w:tab w:val="right" w:pos="9360"/>
              </w:tabs>
              <w:suppressAutoHyphens/>
              <w:autoSpaceDE w:val="0"/>
              <w:autoSpaceDN w:val="0"/>
              <w:spacing w:after="0" w:line="240" w:lineRule="auto"/>
              <w:rPr>
                <w:rFonts w:ascii="Arial" w:eastAsia="Times New Roman" w:hAnsi="Arial" w:cs="Arial"/>
                <w:spacing w:val="-2"/>
                <w:sz w:val="24"/>
                <w:szCs w:val="24"/>
              </w:rPr>
            </w:pPr>
          </w:p>
        </w:tc>
        <w:tc>
          <w:tcPr>
            <w:tcW w:w="796" w:type="dxa"/>
            <w:shd w:val="clear" w:color="auto" w:fill="auto"/>
          </w:tcPr>
          <w:p w14:paraId="0FD6A485" w14:textId="77777777" w:rsidR="00CF2248" w:rsidRPr="00142DF6" w:rsidRDefault="00CF2248" w:rsidP="008F0EAC">
            <w:pPr>
              <w:widowControl w:val="0"/>
              <w:tabs>
                <w:tab w:val="right" w:pos="9360"/>
              </w:tabs>
              <w:suppressAutoHyphens/>
              <w:autoSpaceDE w:val="0"/>
              <w:autoSpaceDN w:val="0"/>
              <w:spacing w:after="0" w:line="240" w:lineRule="auto"/>
              <w:rPr>
                <w:rFonts w:ascii="Arial" w:eastAsia="Times New Roman" w:hAnsi="Arial" w:cs="Arial"/>
                <w:spacing w:val="-2"/>
                <w:sz w:val="24"/>
                <w:szCs w:val="24"/>
              </w:rPr>
            </w:pPr>
          </w:p>
        </w:tc>
      </w:tr>
      <w:tr w:rsidR="008200DD" w:rsidRPr="00142DF6" w14:paraId="45FFFF33" w14:textId="77777777" w:rsidTr="005460D2">
        <w:trPr>
          <w:trHeight w:val="145"/>
        </w:trPr>
        <w:tc>
          <w:tcPr>
            <w:tcW w:w="12420" w:type="dxa"/>
          </w:tcPr>
          <w:p w14:paraId="7FD5EEFE" w14:textId="0125F8F2" w:rsidR="00247547" w:rsidRPr="00B4161C" w:rsidRDefault="005450CB" w:rsidP="008200DD">
            <w:pPr>
              <w:pStyle w:val="NoSpacing"/>
              <w:numPr>
                <w:ilvl w:val="0"/>
                <w:numId w:val="3"/>
              </w:numPr>
              <w:ind w:right="-18"/>
              <w:rPr>
                <w:rFonts w:ascii="Arial" w:hAnsi="Arial" w:cs="Arial"/>
              </w:rPr>
            </w:pPr>
            <w:r w:rsidRPr="005460D2">
              <w:rPr>
                <w:rFonts w:ascii="Arial" w:hAnsi="Arial" w:cs="Arial"/>
              </w:rPr>
              <w:t xml:space="preserve">Income Eligibility </w:t>
            </w:r>
            <w:r w:rsidR="009A3AE6" w:rsidRPr="005460D2">
              <w:rPr>
                <w:rFonts w:ascii="Arial" w:hAnsi="Arial" w:cs="Arial"/>
              </w:rPr>
              <w:t>–</w:t>
            </w:r>
            <w:r w:rsidRPr="005460D2">
              <w:rPr>
                <w:rFonts w:ascii="Arial" w:hAnsi="Arial" w:cs="Arial"/>
              </w:rPr>
              <w:t xml:space="preserve"> </w:t>
            </w:r>
            <w:r w:rsidR="009A3AE6" w:rsidRPr="005460D2">
              <w:rPr>
                <w:rFonts w:ascii="Arial" w:hAnsi="Arial" w:cs="Arial"/>
              </w:rPr>
              <w:t>Units remaining affordable</w:t>
            </w:r>
            <w:r w:rsidR="00247547" w:rsidRPr="005460D2">
              <w:rPr>
                <w:rFonts w:ascii="Arial" w:hAnsi="Arial" w:cs="Arial"/>
              </w:rPr>
              <w:t xml:space="preserve"> </w:t>
            </w:r>
            <w:r w:rsidR="009A3AE6" w:rsidRPr="005460D2">
              <w:rPr>
                <w:rFonts w:ascii="Arial" w:hAnsi="Arial" w:cs="Arial"/>
              </w:rPr>
              <w:t>must be</w:t>
            </w:r>
            <w:r w:rsidR="00247547" w:rsidRPr="005460D2">
              <w:rPr>
                <w:rFonts w:ascii="Arial" w:hAnsi="Arial" w:cs="Arial"/>
              </w:rPr>
              <w:t xml:space="preserve"> limited to households at or below 120% of the AMI</w:t>
            </w:r>
            <w:r w:rsidR="009A3AE6" w:rsidRPr="005460D2">
              <w:rPr>
                <w:rFonts w:ascii="Arial" w:hAnsi="Arial" w:cs="Arial"/>
              </w:rPr>
              <w:t xml:space="preserve"> or as prescribed in an awarded DED contract</w:t>
            </w:r>
            <w:r w:rsidRPr="005460D2">
              <w:rPr>
                <w:rFonts w:ascii="Arial" w:hAnsi="Arial" w:cs="Arial"/>
              </w:rPr>
              <w:t xml:space="preserve">. </w:t>
            </w:r>
            <w:r w:rsidR="00B4161C" w:rsidRPr="005460D2">
              <w:rPr>
                <w:rFonts w:ascii="Arial" w:hAnsi="Arial" w:cs="Arial"/>
              </w:rPr>
              <w:t xml:space="preserve">Income certification must be completed </w:t>
            </w:r>
            <w:r w:rsidR="005C7241">
              <w:rPr>
                <w:rFonts w:ascii="Arial" w:hAnsi="Arial" w:cs="Arial"/>
              </w:rPr>
              <w:t xml:space="preserve">prior to and </w:t>
            </w:r>
            <w:r w:rsidR="00B4161C" w:rsidRPr="005460D2">
              <w:rPr>
                <w:rFonts w:ascii="Arial" w:hAnsi="Arial" w:cs="Arial"/>
              </w:rPr>
              <w:t>within 6 months of move in date</w:t>
            </w:r>
            <w:r w:rsidR="00B4161C" w:rsidRPr="005460D2">
              <w:rPr>
                <w:rFonts w:ascii="Arial" w:hAnsi="Arial" w:cs="Arial"/>
                <w:i/>
                <w:iCs/>
              </w:rPr>
              <w:t>.</w:t>
            </w:r>
            <w:r w:rsidR="009A3AE6" w:rsidRPr="005460D2">
              <w:rPr>
                <w:rFonts w:ascii="Arial" w:hAnsi="Arial" w:cs="Arial"/>
                <w:i/>
                <w:iCs/>
              </w:rPr>
              <w:t xml:space="preserve">  </w:t>
            </w:r>
            <w:r w:rsidR="009A3AE6" w:rsidRPr="005460D2">
              <w:rPr>
                <w:rFonts w:ascii="Arial" w:hAnsi="Arial" w:cs="Arial"/>
              </w:rPr>
              <w:t>Recipients shall use guidance of 24 CFR Part 5.609 for determining annual gross income.</w:t>
            </w:r>
            <w:r w:rsidR="009A3AE6">
              <w:rPr>
                <w:rFonts w:ascii="Arial" w:hAnsi="Arial" w:cs="Arial"/>
              </w:rPr>
              <w:t xml:space="preserve"> </w:t>
            </w:r>
          </w:p>
        </w:tc>
        <w:tc>
          <w:tcPr>
            <w:tcW w:w="990" w:type="dxa"/>
          </w:tcPr>
          <w:p w14:paraId="4D3E89EC" w14:textId="77777777" w:rsidR="00247547" w:rsidRPr="00142DF6" w:rsidRDefault="00247547" w:rsidP="008F0EAC">
            <w:pPr>
              <w:widowControl w:val="0"/>
              <w:tabs>
                <w:tab w:val="right" w:pos="9360"/>
              </w:tabs>
              <w:suppressAutoHyphens/>
              <w:autoSpaceDE w:val="0"/>
              <w:autoSpaceDN w:val="0"/>
              <w:spacing w:after="0" w:line="240" w:lineRule="auto"/>
              <w:rPr>
                <w:rFonts w:ascii="Arial" w:eastAsia="Times New Roman" w:hAnsi="Arial" w:cs="Arial"/>
                <w:spacing w:val="-2"/>
                <w:sz w:val="24"/>
                <w:szCs w:val="24"/>
              </w:rPr>
            </w:pPr>
          </w:p>
        </w:tc>
        <w:tc>
          <w:tcPr>
            <w:tcW w:w="540" w:type="dxa"/>
            <w:shd w:val="clear" w:color="auto" w:fill="auto"/>
          </w:tcPr>
          <w:p w14:paraId="733E021E" w14:textId="77777777" w:rsidR="00247547" w:rsidRPr="00142DF6" w:rsidRDefault="00247547" w:rsidP="008F0EAC">
            <w:pPr>
              <w:widowControl w:val="0"/>
              <w:tabs>
                <w:tab w:val="right" w:pos="9360"/>
              </w:tabs>
              <w:suppressAutoHyphens/>
              <w:autoSpaceDE w:val="0"/>
              <w:autoSpaceDN w:val="0"/>
              <w:spacing w:after="0" w:line="240" w:lineRule="auto"/>
              <w:rPr>
                <w:rFonts w:ascii="Arial" w:eastAsia="Times New Roman" w:hAnsi="Arial" w:cs="Arial"/>
                <w:spacing w:val="-2"/>
                <w:sz w:val="24"/>
                <w:szCs w:val="24"/>
              </w:rPr>
            </w:pPr>
          </w:p>
        </w:tc>
        <w:tc>
          <w:tcPr>
            <w:tcW w:w="796" w:type="dxa"/>
          </w:tcPr>
          <w:p w14:paraId="2CE41B81" w14:textId="77777777" w:rsidR="00247547" w:rsidRPr="00142DF6" w:rsidRDefault="00247547" w:rsidP="008F0EAC">
            <w:pPr>
              <w:widowControl w:val="0"/>
              <w:tabs>
                <w:tab w:val="right" w:pos="9360"/>
              </w:tabs>
              <w:suppressAutoHyphens/>
              <w:autoSpaceDE w:val="0"/>
              <w:autoSpaceDN w:val="0"/>
              <w:spacing w:after="0" w:line="240" w:lineRule="auto"/>
              <w:rPr>
                <w:rFonts w:ascii="Arial" w:eastAsia="Times New Roman" w:hAnsi="Arial" w:cs="Arial"/>
                <w:spacing w:val="-2"/>
                <w:sz w:val="24"/>
                <w:szCs w:val="24"/>
              </w:rPr>
            </w:pPr>
          </w:p>
        </w:tc>
      </w:tr>
      <w:tr w:rsidR="008200DD" w:rsidRPr="00142DF6" w14:paraId="75FF3ED9" w14:textId="77777777" w:rsidTr="005460D2">
        <w:trPr>
          <w:trHeight w:val="145"/>
        </w:trPr>
        <w:tc>
          <w:tcPr>
            <w:tcW w:w="12420" w:type="dxa"/>
          </w:tcPr>
          <w:p w14:paraId="08EE317B" w14:textId="2813D87A" w:rsidR="00247547" w:rsidRPr="005450CB" w:rsidRDefault="005450CB" w:rsidP="008200DD">
            <w:pPr>
              <w:pStyle w:val="NoSpacing"/>
              <w:numPr>
                <w:ilvl w:val="0"/>
                <w:numId w:val="3"/>
              </w:numPr>
              <w:ind w:right="-18"/>
              <w:rPr>
                <w:rFonts w:ascii="Arial" w:hAnsi="Arial" w:cs="Arial"/>
              </w:rPr>
            </w:pPr>
            <w:r w:rsidRPr="005450CB">
              <w:rPr>
                <w:rFonts w:ascii="Arial" w:hAnsi="Arial" w:cs="Arial"/>
                <w:color w:val="000000"/>
                <w:shd w:val="clear" w:color="auto" w:fill="FFFFFF"/>
              </w:rPr>
              <w:t xml:space="preserve">Rent Limits - </w:t>
            </w:r>
            <w:r w:rsidR="00313F44" w:rsidRPr="005450CB">
              <w:rPr>
                <w:rFonts w:ascii="Arial" w:hAnsi="Arial" w:cs="Arial"/>
                <w:color w:val="000000"/>
                <w:shd w:val="clear" w:color="auto" w:fill="FFFFFF"/>
              </w:rPr>
              <w:t xml:space="preserve">Using the HUD Home Rent Limit table found on DED NAHTF web page; rents should be no more than the 65% rent limit established by HUD for the area project is located in. </w:t>
            </w:r>
            <w:r w:rsidR="00932BF3" w:rsidRPr="005450CB">
              <w:rPr>
                <w:rFonts w:ascii="Arial" w:hAnsi="Arial" w:cs="Arial"/>
                <w:color w:val="000000"/>
                <w:shd w:val="clear" w:color="auto" w:fill="FFFFFF"/>
              </w:rPr>
              <w:t>The HUD table assumes landlord/owner is paying utilities; therefore</w:t>
            </w:r>
            <w:r w:rsidR="00932BF3">
              <w:rPr>
                <w:rFonts w:ascii="Arial" w:hAnsi="Arial" w:cs="Arial"/>
                <w:color w:val="000000"/>
                <w:shd w:val="clear" w:color="auto" w:fill="FFFFFF"/>
              </w:rPr>
              <w:t>,</w:t>
            </w:r>
            <w:r w:rsidR="00932BF3" w:rsidRPr="005450CB">
              <w:rPr>
                <w:rFonts w:ascii="Arial" w:hAnsi="Arial" w:cs="Arial"/>
                <w:color w:val="000000"/>
                <w:shd w:val="clear" w:color="auto" w:fill="FFFFFF"/>
              </w:rPr>
              <w:t xml:space="preserve"> </w:t>
            </w:r>
            <w:r w:rsidR="00932BF3">
              <w:rPr>
                <w:rFonts w:ascii="Arial" w:hAnsi="Arial" w:cs="Arial"/>
                <w:color w:val="000000"/>
                <w:shd w:val="clear" w:color="auto" w:fill="FFFFFF"/>
              </w:rPr>
              <w:t xml:space="preserve">the total of rent plus tenant paid utilities must fall within the 65% limit on the table.  </w:t>
            </w:r>
            <w:r w:rsidR="00313F44" w:rsidRPr="009F18CB">
              <w:rPr>
                <w:rFonts w:ascii="Arial" w:hAnsi="Arial" w:cs="Arial"/>
                <w:color w:val="000000"/>
                <w:sz w:val="20"/>
                <w:szCs w:val="20"/>
                <w:shd w:val="clear" w:color="auto" w:fill="FFFFFF"/>
              </w:rPr>
              <w:t xml:space="preserve">However, if the Fair Market Rent limit shown on the HUD table is lower than the 65% rent limit, project should consider using the FMR as the limit. </w:t>
            </w:r>
            <w:r w:rsidR="00443BEF" w:rsidRPr="009F18CB">
              <w:rPr>
                <w:rFonts w:ascii="Arial" w:hAnsi="Arial" w:cs="Arial"/>
                <w:color w:val="000000"/>
                <w:sz w:val="20"/>
                <w:szCs w:val="20"/>
                <w:shd w:val="clear" w:color="auto" w:fill="FFFFFF"/>
              </w:rPr>
              <w:t xml:space="preserve">The </w:t>
            </w:r>
            <w:r w:rsidR="00443BEF" w:rsidRPr="009F18CB">
              <w:rPr>
                <w:rFonts w:ascii="Arial" w:hAnsi="Arial" w:cs="Arial"/>
                <w:i/>
                <w:iCs/>
                <w:color w:val="000000"/>
                <w:sz w:val="20"/>
                <w:szCs w:val="20"/>
                <w:shd w:val="clear" w:color="auto" w:fill="FFFFFF"/>
              </w:rPr>
              <w:t xml:space="preserve">Department recognizes that the HUD table may not be </w:t>
            </w:r>
            <w:r w:rsidR="00CC48BF" w:rsidRPr="009F18CB">
              <w:rPr>
                <w:rFonts w:ascii="Arial" w:hAnsi="Arial" w:cs="Arial"/>
                <w:i/>
                <w:iCs/>
                <w:color w:val="000000"/>
                <w:sz w:val="20"/>
                <w:szCs w:val="20"/>
                <w:shd w:val="clear" w:color="auto" w:fill="FFFFFF"/>
              </w:rPr>
              <w:t>accurate</w:t>
            </w:r>
            <w:r w:rsidR="00443BEF" w:rsidRPr="009F18CB">
              <w:rPr>
                <w:rFonts w:ascii="Arial" w:hAnsi="Arial" w:cs="Arial"/>
                <w:i/>
                <w:iCs/>
                <w:color w:val="000000"/>
                <w:sz w:val="20"/>
                <w:szCs w:val="20"/>
                <w:shd w:val="clear" w:color="auto" w:fill="FFFFFF"/>
              </w:rPr>
              <w:t xml:space="preserve"> representation of the project area’s FMR.</w:t>
            </w:r>
            <w:r w:rsidR="00443BEF" w:rsidRPr="009F18CB">
              <w:rPr>
                <w:rFonts w:ascii="Arial" w:hAnsi="Arial" w:cs="Arial"/>
                <w:color w:val="000000"/>
                <w:sz w:val="20"/>
                <w:szCs w:val="20"/>
                <w:shd w:val="clear" w:color="auto" w:fill="FFFFFF"/>
              </w:rPr>
              <w:t xml:space="preserve">  The rent</w:t>
            </w:r>
            <w:r w:rsidRPr="009F18CB">
              <w:rPr>
                <w:rFonts w:ascii="Arial" w:hAnsi="Arial" w:cs="Arial"/>
                <w:color w:val="000000"/>
                <w:sz w:val="20"/>
                <w:szCs w:val="20"/>
                <w:shd w:val="clear" w:color="auto" w:fill="FFFFFF"/>
              </w:rPr>
              <w:t xml:space="preserve"> amount</w:t>
            </w:r>
            <w:r w:rsidR="00313F44" w:rsidRPr="009F18CB">
              <w:rPr>
                <w:rFonts w:ascii="Arial" w:hAnsi="Arial" w:cs="Arial"/>
                <w:color w:val="000000"/>
                <w:sz w:val="20"/>
                <w:szCs w:val="20"/>
                <w:shd w:val="clear" w:color="auto" w:fill="FFFFFF"/>
              </w:rPr>
              <w:t xml:space="preserve"> </w:t>
            </w:r>
            <w:r w:rsidR="00443BEF" w:rsidRPr="009F18CB">
              <w:rPr>
                <w:rFonts w:ascii="Arial" w:hAnsi="Arial" w:cs="Arial"/>
                <w:color w:val="000000"/>
                <w:sz w:val="20"/>
                <w:szCs w:val="20"/>
                <w:shd w:val="clear" w:color="auto" w:fill="FFFFFF"/>
              </w:rPr>
              <w:t xml:space="preserve">needs to make </w:t>
            </w:r>
            <w:r w:rsidR="00313F44" w:rsidRPr="009F18CB">
              <w:rPr>
                <w:rFonts w:ascii="Arial" w:hAnsi="Arial" w:cs="Arial"/>
                <w:color w:val="000000"/>
                <w:sz w:val="20"/>
                <w:szCs w:val="20"/>
                <w:shd w:val="clear" w:color="auto" w:fill="FFFFFF"/>
              </w:rPr>
              <w:t xml:space="preserve">sense for the area that </w:t>
            </w:r>
            <w:r w:rsidR="00443BEF" w:rsidRPr="009F18CB">
              <w:rPr>
                <w:rFonts w:ascii="Arial" w:hAnsi="Arial" w:cs="Arial"/>
                <w:color w:val="000000"/>
                <w:sz w:val="20"/>
                <w:szCs w:val="20"/>
                <w:shd w:val="clear" w:color="auto" w:fill="FFFFFF"/>
              </w:rPr>
              <w:t xml:space="preserve">the </w:t>
            </w:r>
            <w:r w:rsidR="00313F44" w:rsidRPr="009F18CB">
              <w:rPr>
                <w:rFonts w:ascii="Arial" w:hAnsi="Arial" w:cs="Arial"/>
                <w:color w:val="000000"/>
                <w:sz w:val="20"/>
                <w:szCs w:val="20"/>
                <w:shd w:val="clear" w:color="auto" w:fill="FFFFFF"/>
              </w:rPr>
              <w:t>project is located in and</w:t>
            </w:r>
            <w:r w:rsidR="00443BEF" w:rsidRPr="009F18CB">
              <w:rPr>
                <w:rFonts w:ascii="Arial" w:hAnsi="Arial" w:cs="Arial"/>
                <w:color w:val="000000"/>
                <w:sz w:val="20"/>
                <w:szCs w:val="20"/>
                <w:shd w:val="clear" w:color="auto" w:fill="FFFFFF"/>
              </w:rPr>
              <w:t xml:space="preserve"> </w:t>
            </w:r>
            <w:r w:rsidR="00313F44" w:rsidRPr="009F18CB">
              <w:rPr>
                <w:rFonts w:ascii="Arial" w:hAnsi="Arial" w:cs="Arial"/>
                <w:color w:val="000000"/>
                <w:sz w:val="20"/>
                <w:szCs w:val="20"/>
                <w:shd w:val="clear" w:color="auto" w:fill="FFFFFF"/>
              </w:rPr>
              <w:t>considers the AMI population being targeted</w:t>
            </w:r>
            <w:r w:rsidR="00932BF3" w:rsidRPr="009F18CB">
              <w:rPr>
                <w:rFonts w:ascii="Arial" w:hAnsi="Arial" w:cs="Arial"/>
                <w:color w:val="000000"/>
                <w:sz w:val="20"/>
                <w:szCs w:val="20"/>
                <w:shd w:val="clear" w:color="auto" w:fill="FFFFFF"/>
              </w:rPr>
              <w:t xml:space="preserve">. </w:t>
            </w:r>
            <w:r w:rsidR="00443BEF" w:rsidRPr="009F18CB">
              <w:rPr>
                <w:rFonts w:ascii="Arial" w:hAnsi="Arial" w:cs="Arial"/>
                <w:i/>
                <w:iCs/>
                <w:color w:val="000000"/>
                <w:sz w:val="20"/>
                <w:szCs w:val="20"/>
                <w:shd w:val="clear" w:color="auto" w:fill="FFFFFF"/>
              </w:rPr>
              <w:t xml:space="preserve">Ultimately the </w:t>
            </w:r>
            <w:r w:rsidR="0086414F">
              <w:rPr>
                <w:rFonts w:ascii="Arial" w:hAnsi="Arial" w:cs="Arial"/>
                <w:i/>
                <w:iCs/>
                <w:color w:val="000000"/>
                <w:sz w:val="20"/>
                <w:szCs w:val="20"/>
                <w:shd w:val="clear" w:color="auto" w:fill="FFFFFF"/>
              </w:rPr>
              <w:t>a</w:t>
            </w:r>
            <w:r w:rsidR="00443BEF" w:rsidRPr="009F18CB">
              <w:rPr>
                <w:rFonts w:ascii="Arial" w:hAnsi="Arial" w:cs="Arial"/>
                <w:i/>
                <w:iCs/>
                <w:color w:val="000000"/>
                <w:sz w:val="20"/>
                <w:szCs w:val="20"/>
                <w:shd w:val="clear" w:color="auto" w:fill="FFFFFF"/>
              </w:rPr>
              <w:t xml:space="preserve">pplication should be able to </w:t>
            </w:r>
            <w:r w:rsidR="00443BEF" w:rsidRPr="009F18CB">
              <w:rPr>
                <w:rFonts w:ascii="Arial" w:hAnsi="Arial" w:cs="Arial"/>
                <w:i/>
                <w:iCs/>
                <w:color w:val="000000"/>
                <w:sz w:val="20"/>
                <w:szCs w:val="20"/>
                <w:u w:val="single"/>
                <w:shd w:val="clear" w:color="auto" w:fill="FFFFFF"/>
              </w:rPr>
              <w:t xml:space="preserve">support </w:t>
            </w:r>
            <w:r w:rsidR="00C06795" w:rsidRPr="009F18CB">
              <w:rPr>
                <w:rFonts w:ascii="Arial" w:hAnsi="Arial" w:cs="Arial"/>
                <w:i/>
                <w:iCs/>
                <w:color w:val="000000"/>
                <w:sz w:val="20"/>
                <w:szCs w:val="20"/>
                <w:u w:val="single"/>
                <w:shd w:val="clear" w:color="auto" w:fill="FFFFFF"/>
              </w:rPr>
              <w:t>the</w:t>
            </w:r>
            <w:r w:rsidR="00443BEF" w:rsidRPr="009F18CB">
              <w:rPr>
                <w:rFonts w:ascii="Arial" w:hAnsi="Arial" w:cs="Arial"/>
                <w:i/>
                <w:iCs/>
                <w:color w:val="000000"/>
                <w:sz w:val="20"/>
                <w:szCs w:val="20"/>
                <w:u w:val="single"/>
                <w:shd w:val="clear" w:color="auto" w:fill="FFFFFF"/>
              </w:rPr>
              <w:t xml:space="preserve"> rent</w:t>
            </w:r>
            <w:r w:rsidR="00C06795" w:rsidRPr="009F18CB">
              <w:rPr>
                <w:rFonts w:ascii="Arial" w:hAnsi="Arial" w:cs="Arial"/>
                <w:i/>
                <w:iCs/>
                <w:color w:val="000000"/>
                <w:sz w:val="20"/>
                <w:szCs w:val="20"/>
                <w:u w:val="single"/>
                <w:shd w:val="clear" w:color="auto" w:fill="FFFFFF"/>
              </w:rPr>
              <w:t xml:space="preserve"> amount decision in </w:t>
            </w:r>
            <w:r w:rsidR="0086414F">
              <w:rPr>
                <w:rFonts w:ascii="Arial" w:hAnsi="Arial" w:cs="Arial"/>
                <w:i/>
                <w:iCs/>
                <w:color w:val="000000"/>
                <w:sz w:val="20"/>
                <w:szCs w:val="20"/>
                <w:u w:val="single"/>
                <w:shd w:val="clear" w:color="auto" w:fill="FFFFFF"/>
              </w:rPr>
              <w:t>the p</w:t>
            </w:r>
            <w:r w:rsidR="00C06795" w:rsidRPr="009F18CB">
              <w:rPr>
                <w:rFonts w:ascii="Arial" w:hAnsi="Arial" w:cs="Arial"/>
                <w:i/>
                <w:iCs/>
                <w:color w:val="000000"/>
                <w:sz w:val="20"/>
                <w:szCs w:val="20"/>
                <w:u w:val="single"/>
                <w:shd w:val="clear" w:color="auto" w:fill="FFFFFF"/>
              </w:rPr>
              <w:t>ro</w:t>
            </w:r>
            <w:r w:rsidR="00412637">
              <w:rPr>
                <w:rFonts w:ascii="Arial" w:hAnsi="Arial" w:cs="Arial"/>
                <w:i/>
                <w:iCs/>
                <w:color w:val="000000"/>
                <w:sz w:val="20"/>
                <w:szCs w:val="20"/>
                <w:u w:val="single"/>
                <w:shd w:val="clear" w:color="auto" w:fill="FFFFFF"/>
              </w:rPr>
              <w:t xml:space="preserve"> </w:t>
            </w:r>
            <w:r w:rsidR="0086414F">
              <w:rPr>
                <w:rFonts w:ascii="Arial" w:hAnsi="Arial" w:cs="Arial"/>
                <w:i/>
                <w:iCs/>
                <w:color w:val="000000"/>
                <w:sz w:val="20"/>
                <w:szCs w:val="20"/>
                <w:u w:val="single"/>
                <w:shd w:val="clear" w:color="auto" w:fill="FFFFFF"/>
              </w:rPr>
              <w:t>f</w:t>
            </w:r>
            <w:r w:rsidR="00C06795" w:rsidRPr="009F18CB">
              <w:rPr>
                <w:rFonts w:ascii="Arial" w:hAnsi="Arial" w:cs="Arial"/>
                <w:i/>
                <w:iCs/>
                <w:color w:val="000000"/>
                <w:sz w:val="20"/>
                <w:szCs w:val="20"/>
                <w:u w:val="single"/>
                <w:shd w:val="clear" w:color="auto" w:fill="FFFFFF"/>
              </w:rPr>
              <w:t>orma</w:t>
            </w:r>
            <w:r w:rsidR="0086414F">
              <w:rPr>
                <w:rFonts w:ascii="Arial" w:hAnsi="Arial" w:cs="Arial"/>
                <w:i/>
                <w:iCs/>
                <w:color w:val="000000"/>
                <w:sz w:val="20"/>
                <w:szCs w:val="20"/>
                <w:u w:val="single"/>
                <w:shd w:val="clear" w:color="auto" w:fill="FFFFFF"/>
              </w:rPr>
              <w:t xml:space="preserve"> packet</w:t>
            </w:r>
            <w:r w:rsidR="00443BEF" w:rsidRPr="009F18CB">
              <w:rPr>
                <w:rFonts w:ascii="Arial" w:hAnsi="Arial" w:cs="Arial"/>
                <w:color w:val="000000"/>
                <w:sz w:val="20"/>
                <w:szCs w:val="20"/>
                <w:shd w:val="clear" w:color="auto" w:fill="FFFFFF"/>
              </w:rPr>
              <w:t xml:space="preserve">.  </w:t>
            </w:r>
          </w:p>
        </w:tc>
        <w:tc>
          <w:tcPr>
            <w:tcW w:w="990" w:type="dxa"/>
          </w:tcPr>
          <w:p w14:paraId="34ECE904" w14:textId="77777777" w:rsidR="00247547" w:rsidRPr="00142DF6" w:rsidRDefault="00247547" w:rsidP="008F0EAC">
            <w:pPr>
              <w:widowControl w:val="0"/>
              <w:tabs>
                <w:tab w:val="right" w:pos="9360"/>
              </w:tabs>
              <w:suppressAutoHyphens/>
              <w:autoSpaceDE w:val="0"/>
              <w:autoSpaceDN w:val="0"/>
              <w:spacing w:after="0" w:line="240" w:lineRule="auto"/>
              <w:rPr>
                <w:rFonts w:ascii="Arial" w:eastAsia="Times New Roman" w:hAnsi="Arial" w:cs="Arial"/>
                <w:sz w:val="24"/>
                <w:szCs w:val="24"/>
              </w:rPr>
            </w:pPr>
          </w:p>
        </w:tc>
        <w:tc>
          <w:tcPr>
            <w:tcW w:w="540" w:type="dxa"/>
            <w:shd w:val="clear" w:color="auto" w:fill="auto"/>
          </w:tcPr>
          <w:p w14:paraId="7FB4142B" w14:textId="77777777" w:rsidR="00247547" w:rsidRPr="00142DF6" w:rsidRDefault="00247547" w:rsidP="008F0EAC">
            <w:pPr>
              <w:widowControl w:val="0"/>
              <w:tabs>
                <w:tab w:val="right" w:pos="9360"/>
              </w:tabs>
              <w:suppressAutoHyphens/>
              <w:autoSpaceDE w:val="0"/>
              <w:autoSpaceDN w:val="0"/>
              <w:spacing w:after="0" w:line="240" w:lineRule="auto"/>
              <w:rPr>
                <w:rFonts w:ascii="Arial" w:eastAsia="Times New Roman" w:hAnsi="Arial" w:cs="Arial"/>
                <w:spacing w:val="-2"/>
                <w:sz w:val="24"/>
                <w:szCs w:val="24"/>
              </w:rPr>
            </w:pPr>
          </w:p>
        </w:tc>
        <w:tc>
          <w:tcPr>
            <w:tcW w:w="796" w:type="dxa"/>
          </w:tcPr>
          <w:p w14:paraId="3A76AE08" w14:textId="77777777" w:rsidR="00247547" w:rsidRPr="00142DF6" w:rsidRDefault="00247547" w:rsidP="008F0EAC">
            <w:pPr>
              <w:spacing w:after="0" w:line="240" w:lineRule="auto"/>
              <w:rPr>
                <w:rFonts w:ascii="Arial" w:eastAsia="Times New Roman" w:hAnsi="Arial" w:cs="Arial"/>
                <w:sz w:val="24"/>
                <w:szCs w:val="24"/>
              </w:rPr>
            </w:pPr>
          </w:p>
        </w:tc>
      </w:tr>
      <w:tr w:rsidR="008200DD" w:rsidRPr="00142DF6" w14:paraId="3E560D1A" w14:textId="77777777" w:rsidTr="005460D2">
        <w:trPr>
          <w:trHeight w:val="870"/>
        </w:trPr>
        <w:tc>
          <w:tcPr>
            <w:tcW w:w="12420" w:type="dxa"/>
          </w:tcPr>
          <w:p w14:paraId="5C1AF1C8" w14:textId="581B3671" w:rsidR="00247547" w:rsidRPr="000B19F4" w:rsidRDefault="00DC7B4B" w:rsidP="008200DD">
            <w:pPr>
              <w:pStyle w:val="NoSpacing"/>
              <w:numPr>
                <w:ilvl w:val="0"/>
                <w:numId w:val="3"/>
              </w:numPr>
              <w:ind w:right="-18"/>
              <w:rPr>
                <w:rFonts w:ascii="Arial" w:hAnsi="Arial" w:cs="Arial"/>
                <w:color w:val="0000FF"/>
                <w:sz w:val="24"/>
                <w:szCs w:val="24"/>
                <w:u w:val="single"/>
              </w:rPr>
            </w:pPr>
            <w:r w:rsidRPr="005460D2">
              <w:rPr>
                <w:rFonts w:ascii="Arial" w:hAnsi="Arial" w:cs="Arial"/>
                <w:spacing w:val="-2"/>
              </w:rPr>
              <w:t>Relocation policy</w:t>
            </w:r>
            <w:r w:rsidR="005450CB" w:rsidRPr="005460D2">
              <w:rPr>
                <w:rFonts w:ascii="Arial" w:hAnsi="Arial" w:cs="Arial"/>
                <w:spacing w:val="-2"/>
              </w:rPr>
              <w:t xml:space="preserve"> – </w:t>
            </w:r>
            <w:r w:rsidR="00D057C4" w:rsidRPr="005460D2">
              <w:rPr>
                <w:rFonts w:ascii="Arial" w:hAnsi="Arial" w:cs="Arial"/>
                <w:spacing w:val="-2"/>
              </w:rPr>
              <w:t xml:space="preserve">Policy </w:t>
            </w:r>
            <w:r w:rsidR="00EB4B17" w:rsidRPr="005460D2">
              <w:rPr>
                <w:rFonts w:ascii="Arial" w:hAnsi="Arial" w:cs="Arial"/>
                <w:spacing w:val="-2"/>
              </w:rPr>
              <w:t>stating</w:t>
            </w:r>
            <w:r w:rsidR="00D057C4" w:rsidRPr="005460D2">
              <w:rPr>
                <w:rFonts w:ascii="Arial" w:hAnsi="Arial" w:cs="Arial"/>
                <w:spacing w:val="-2"/>
              </w:rPr>
              <w:t xml:space="preserve"> that “</w:t>
            </w:r>
            <w:r w:rsidR="005450CB" w:rsidRPr="005460D2">
              <w:rPr>
                <w:rFonts w:ascii="Arial" w:hAnsi="Arial" w:cs="Arial"/>
                <w:color w:val="000000"/>
                <w:shd w:val="clear" w:color="auto" w:fill="FFFFFF"/>
              </w:rPr>
              <w:t>In the event relocation of tenants is necessary, project will follow the Nebraska Relocation Assistance Act 76-1214 to 76-1242</w:t>
            </w:r>
            <w:r w:rsidR="00D057C4" w:rsidRPr="005460D2">
              <w:rPr>
                <w:rFonts w:ascii="Arial" w:hAnsi="Arial" w:cs="Arial"/>
                <w:color w:val="000000"/>
                <w:shd w:val="clear" w:color="auto" w:fill="FFFFFF"/>
              </w:rPr>
              <w:t xml:space="preserve">, and </w:t>
            </w:r>
            <w:r w:rsidR="005450CB" w:rsidRPr="005460D2">
              <w:rPr>
                <w:rFonts w:ascii="Arial" w:hAnsi="Arial" w:cs="Arial"/>
                <w:color w:val="000000"/>
                <w:shd w:val="clear" w:color="auto" w:fill="FFFFFF"/>
              </w:rPr>
              <w:t>where either voluntary or involuntary acquisition is anticipated, DED will be contacted prior to any action.</w:t>
            </w:r>
            <w:r w:rsidR="00D057C4" w:rsidRPr="005460D2">
              <w:rPr>
                <w:rFonts w:ascii="Arial" w:hAnsi="Arial" w:cs="Arial"/>
                <w:color w:val="000000"/>
                <w:shd w:val="clear" w:color="auto" w:fill="FFFFFF"/>
              </w:rPr>
              <w:t>”</w:t>
            </w:r>
            <w:r w:rsidR="000F1441" w:rsidRPr="005460D2">
              <w:rPr>
                <w:rFonts w:ascii="Arial" w:hAnsi="Arial" w:cs="Arial"/>
                <w:color w:val="000000"/>
                <w:shd w:val="clear" w:color="auto" w:fill="FFFFFF"/>
              </w:rPr>
              <w:t xml:space="preserve"> </w:t>
            </w:r>
            <w:r w:rsidR="0086414F">
              <w:rPr>
                <w:rFonts w:ascii="Arial" w:hAnsi="Arial" w:cs="Arial"/>
                <w:i/>
                <w:iCs/>
                <w:color w:val="000000"/>
                <w:shd w:val="clear" w:color="auto" w:fill="FFFFFF"/>
              </w:rPr>
              <w:t>Guidelines</w:t>
            </w:r>
            <w:r w:rsidR="00EB4B17" w:rsidRPr="005460D2">
              <w:rPr>
                <w:rFonts w:ascii="Arial" w:hAnsi="Arial" w:cs="Arial"/>
                <w:i/>
                <w:iCs/>
                <w:color w:val="000000"/>
                <w:shd w:val="clear" w:color="auto" w:fill="FFFFFF"/>
              </w:rPr>
              <w:t xml:space="preserve"> should be clear on which party will pay expense.</w:t>
            </w:r>
          </w:p>
        </w:tc>
        <w:tc>
          <w:tcPr>
            <w:tcW w:w="990" w:type="dxa"/>
          </w:tcPr>
          <w:p w14:paraId="10BA75AD" w14:textId="77777777" w:rsidR="00247547" w:rsidRPr="00142DF6" w:rsidRDefault="00247547" w:rsidP="008F0EAC">
            <w:pPr>
              <w:spacing w:after="0" w:line="240" w:lineRule="auto"/>
              <w:rPr>
                <w:rFonts w:ascii="Arial" w:eastAsia="Times New Roman" w:hAnsi="Arial" w:cs="Arial"/>
                <w:sz w:val="24"/>
                <w:szCs w:val="24"/>
              </w:rPr>
            </w:pPr>
          </w:p>
        </w:tc>
        <w:tc>
          <w:tcPr>
            <w:tcW w:w="540" w:type="dxa"/>
            <w:shd w:val="clear" w:color="auto" w:fill="auto"/>
          </w:tcPr>
          <w:p w14:paraId="5C413687" w14:textId="77777777" w:rsidR="00247547" w:rsidRPr="00142DF6" w:rsidRDefault="00247547" w:rsidP="008F0EAC">
            <w:pPr>
              <w:widowControl w:val="0"/>
              <w:tabs>
                <w:tab w:val="right" w:pos="9360"/>
              </w:tabs>
              <w:suppressAutoHyphens/>
              <w:autoSpaceDE w:val="0"/>
              <w:autoSpaceDN w:val="0"/>
              <w:spacing w:after="0" w:line="240" w:lineRule="auto"/>
              <w:rPr>
                <w:rFonts w:ascii="Arial" w:eastAsia="Times New Roman" w:hAnsi="Arial" w:cs="Arial"/>
                <w:spacing w:val="-2"/>
                <w:sz w:val="24"/>
                <w:szCs w:val="24"/>
              </w:rPr>
            </w:pPr>
          </w:p>
        </w:tc>
        <w:tc>
          <w:tcPr>
            <w:tcW w:w="796" w:type="dxa"/>
          </w:tcPr>
          <w:p w14:paraId="4CD5BA39" w14:textId="77777777" w:rsidR="00247547" w:rsidRPr="00142DF6" w:rsidRDefault="00247547" w:rsidP="008F0EAC">
            <w:pPr>
              <w:spacing w:after="0" w:line="240" w:lineRule="auto"/>
              <w:rPr>
                <w:rFonts w:ascii="Arial" w:eastAsia="Times New Roman" w:hAnsi="Arial" w:cs="Arial"/>
                <w:sz w:val="24"/>
                <w:szCs w:val="24"/>
              </w:rPr>
            </w:pPr>
          </w:p>
        </w:tc>
      </w:tr>
      <w:tr w:rsidR="008200DD" w:rsidRPr="00142DF6" w14:paraId="7364AF73" w14:textId="77777777" w:rsidTr="005460D2">
        <w:trPr>
          <w:trHeight w:val="1443"/>
        </w:trPr>
        <w:tc>
          <w:tcPr>
            <w:tcW w:w="12420" w:type="dxa"/>
          </w:tcPr>
          <w:p w14:paraId="0641639C" w14:textId="4A21DE96" w:rsidR="00712F78" w:rsidRPr="000B19F4" w:rsidRDefault="00247547" w:rsidP="008200DD">
            <w:pPr>
              <w:pStyle w:val="NoSpacing"/>
              <w:numPr>
                <w:ilvl w:val="0"/>
                <w:numId w:val="3"/>
              </w:numPr>
              <w:ind w:right="-18"/>
              <w:rPr>
                <w:rFonts w:ascii="Arial" w:hAnsi="Arial" w:cs="Arial"/>
                <w:sz w:val="24"/>
                <w:szCs w:val="24"/>
              </w:rPr>
            </w:pPr>
            <w:r w:rsidRPr="000F1441">
              <w:rPr>
                <w:rFonts w:ascii="Arial" w:hAnsi="Arial" w:cs="Arial"/>
              </w:rPr>
              <w:t xml:space="preserve">Enforcement of Rent and Income Limits </w:t>
            </w:r>
            <w:r w:rsidR="000F1441">
              <w:rPr>
                <w:rFonts w:ascii="Arial" w:hAnsi="Arial" w:cs="Arial"/>
              </w:rPr>
              <w:t>–</w:t>
            </w:r>
            <w:r w:rsidRPr="000F1441">
              <w:rPr>
                <w:rFonts w:ascii="Arial" w:hAnsi="Arial" w:cs="Arial"/>
              </w:rPr>
              <w:t xml:space="preserve"> </w:t>
            </w:r>
            <w:r w:rsidR="00D05470">
              <w:rPr>
                <w:rFonts w:ascii="Arial" w:hAnsi="Arial" w:cs="Arial"/>
              </w:rPr>
              <w:t>Project</w:t>
            </w:r>
            <w:r w:rsidR="000F1441" w:rsidRPr="000F1441">
              <w:rPr>
                <w:rFonts w:ascii="Arial" w:hAnsi="Arial" w:cs="Arial"/>
              </w:rPr>
              <w:t xml:space="preserve"> will enforce Rent and Income limits, property standards, and all NAHTF requirements during the Affordability Period through use of</w:t>
            </w:r>
            <w:r w:rsidRPr="000F1441">
              <w:rPr>
                <w:rFonts w:ascii="Arial" w:hAnsi="Arial" w:cs="Arial"/>
              </w:rPr>
              <w:t xml:space="preserve"> deed restrictions, covenants running with the land, or other mechanisms that are not affected by the term of the mortgage or transfer of ownership</w:t>
            </w:r>
            <w:r w:rsidR="0059039F">
              <w:rPr>
                <w:rFonts w:ascii="Arial" w:hAnsi="Arial" w:cs="Arial"/>
              </w:rPr>
              <w:t>.  Describe</w:t>
            </w:r>
            <w:r w:rsidR="006E651B">
              <w:rPr>
                <w:rFonts w:ascii="Arial" w:hAnsi="Arial" w:cs="Arial"/>
              </w:rPr>
              <w:t xml:space="preserve"> how project will </w:t>
            </w:r>
            <w:r w:rsidR="0059039F">
              <w:rPr>
                <w:rFonts w:ascii="Arial" w:hAnsi="Arial" w:cs="Arial"/>
              </w:rPr>
              <w:t xml:space="preserve">conduct reviews and </w:t>
            </w:r>
            <w:r w:rsidRPr="000F1441">
              <w:rPr>
                <w:rFonts w:ascii="Arial" w:hAnsi="Arial" w:cs="Arial"/>
              </w:rPr>
              <w:t>ensur</w:t>
            </w:r>
            <w:r w:rsidR="00702FFD">
              <w:rPr>
                <w:rFonts w:ascii="Arial" w:hAnsi="Arial" w:cs="Arial"/>
              </w:rPr>
              <w:t>e</w:t>
            </w:r>
            <w:r w:rsidRPr="000F1441">
              <w:rPr>
                <w:rFonts w:ascii="Arial" w:hAnsi="Arial" w:cs="Arial"/>
              </w:rPr>
              <w:t xml:space="preserve"> that property managers are aware of all </w:t>
            </w:r>
            <w:r w:rsidR="003D0B0F" w:rsidRPr="000F1441">
              <w:rPr>
                <w:rFonts w:ascii="Arial" w:hAnsi="Arial" w:cs="Arial"/>
              </w:rPr>
              <w:t>NAHTF</w:t>
            </w:r>
            <w:r w:rsidRPr="000F1441">
              <w:rPr>
                <w:rFonts w:ascii="Arial" w:hAnsi="Arial" w:cs="Arial"/>
              </w:rPr>
              <w:t xml:space="preserve"> rent, income, property standards, and reporting requirements </w:t>
            </w:r>
            <w:r w:rsidR="00696A28" w:rsidRPr="000F1441">
              <w:rPr>
                <w:rFonts w:ascii="Arial" w:hAnsi="Arial" w:cs="Arial"/>
              </w:rPr>
              <w:t xml:space="preserve">per DED contract </w:t>
            </w:r>
            <w:r w:rsidRPr="000F1441">
              <w:rPr>
                <w:rFonts w:ascii="Arial" w:hAnsi="Arial" w:cs="Arial"/>
              </w:rPr>
              <w:t xml:space="preserve">throughout the </w:t>
            </w:r>
            <w:r w:rsidR="003D0B0F" w:rsidRPr="000F1441">
              <w:rPr>
                <w:rFonts w:ascii="Arial" w:hAnsi="Arial" w:cs="Arial"/>
              </w:rPr>
              <w:t>NAHTF</w:t>
            </w:r>
            <w:r w:rsidRPr="000F1441">
              <w:rPr>
                <w:rFonts w:ascii="Arial" w:hAnsi="Arial" w:cs="Arial"/>
              </w:rPr>
              <w:t xml:space="preserve"> affordability period</w:t>
            </w:r>
            <w:r w:rsidRPr="006E651B">
              <w:rPr>
                <w:rFonts w:ascii="Arial" w:hAnsi="Arial" w:cs="Arial"/>
                <w:i/>
                <w:iCs/>
              </w:rPr>
              <w:t xml:space="preserve">. </w:t>
            </w:r>
            <w:r w:rsidR="0059039F">
              <w:rPr>
                <w:rFonts w:ascii="Arial" w:hAnsi="Arial" w:cs="Arial"/>
                <w:i/>
                <w:iCs/>
              </w:rPr>
              <w:t>(</w:t>
            </w:r>
            <w:r w:rsidR="006E651B" w:rsidRPr="006E651B">
              <w:rPr>
                <w:rFonts w:ascii="Arial" w:hAnsi="Arial" w:cs="Arial"/>
                <w:i/>
                <w:iCs/>
              </w:rPr>
              <w:t>NAHTF-</w:t>
            </w:r>
            <w:r w:rsidR="009F18CB">
              <w:rPr>
                <w:rFonts w:ascii="Arial" w:hAnsi="Arial" w:cs="Arial"/>
                <w:i/>
                <w:iCs/>
              </w:rPr>
              <w:t>affordable</w:t>
            </w:r>
            <w:r w:rsidR="006E651B" w:rsidRPr="006E651B">
              <w:rPr>
                <w:rFonts w:ascii="Arial" w:hAnsi="Arial" w:cs="Arial"/>
                <w:i/>
                <w:iCs/>
              </w:rPr>
              <w:t xml:space="preserve"> units must align with rent limit allowances.</w:t>
            </w:r>
            <w:r w:rsidR="006E651B">
              <w:rPr>
                <w:rFonts w:ascii="Arial" w:hAnsi="Arial" w:cs="Arial"/>
              </w:rPr>
              <w:t xml:space="preserve"> </w:t>
            </w:r>
            <w:r w:rsidR="006E651B" w:rsidRPr="006E651B">
              <w:rPr>
                <w:rFonts w:ascii="Arial" w:hAnsi="Arial" w:cs="Arial"/>
                <w:i/>
                <w:iCs/>
              </w:rPr>
              <w:t>Following</w:t>
            </w:r>
            <w:r w:rsidR="006E651B">
              <w:rPr>
                <w:rFonts w:ascii="Arial" w:hAnsi="Arial" w:cs="Arial"/>
              </w:rPr>
              <w:t xml:space="preserve"> </w:t>
            </w:r>
            <w:r w:rsidR="00702FFD" w:rsidRPr="006E651B">
              <w:rPr>
                <w:rFonts w:ascii="Arial" w:hAnsi="Arial" w:cs="Arial"/>
                <w:i/>
                <w:iCs/>
              </w:rPr>
              <w:t>an initial income determination, Self-Certificatio</w:t>
            </w:r>
            <w:r w:rsidR="006E651B" w:rsidRPr="006E651B">
              <w:rPr>
                <w:rFonts w:ascii="Arial" w:hAnsi="Arial" w:cs="Arial"/>
                <w:i/>
                <w:iCs/>
              </w:rPr>
              <w:t xml:space="preserve">n is acceptable form of annual </w:t>
            </w:r>
            <w:r w:rsidR="0059039F">
              <w:rPr>
                <w:rFonts w:ascii="Arial" w:hAnsi="Arial" w:cs="Arial"/>
                <w:i/>
                <w:iCs/>
              </w:rPr>
              <w:t xml:space="preserve">income </w:t>
            </w:r>
            <w:r w:rsidR="006E651B" w:rsidRPr="006E651B">
              <w:rPr>
                <w:rFonts w:ascii="Arial" w:hAnsi="Arial" w:cs="Arial"/>
                <w:i/>
                <w:iCs/>
              </w:rPr>
              <w:t>review.</w:t>
            </w:r>
            <w:r w:rsidR="0059039F">
              <w:rPr>
                <w:rFonts w:ascii="Arial" w:hAnsi="Arial" w:cs="Arial"/>
                <w:i/>
                <w:iCs/>
              </w:rPr>
              <w:t>)</w:t>
            </w:r>
          </w:p>
        </w:tc>
        <w:tc>
          <w:tcPr>
            <w:tcW w:w="990" w:type="dxa"/>
          </w:tcPr>
          <w:p w14:paraId="1596FDE3" w14:textId="77777777" w:rsidR="00247547" w:rsidRPr="00142DF6" w:rsidRDefault="00247547" w:rsidP="008F0EAC">
            <w:pPr>
              <w:spacing w:after="0" w:line="240" w:lineRule="auto"/>
              <w:rPr>
                <w:rFonts w:ascii="Arial" w:eastAsia="Times New Roman" w:hAnsi="Arial" w:cs="Arial"/>
                <w:sz w:val="24"/>
                <w:szCs w:val="24"/>
              </w:rPr>
            </w:pPr>
          </w:p>
        </w:tc>
        <w:tc>
          <w:tcPr>
            <w:tcW w:w="540" w:type="dxa"/>
            <w:shd w:val="clear" w:color="auto" w:fill="auto"/>
          </w:tcPr>
          <w:p w14:paraId="5C96B95E" w14:textId="77777777" w:rsidR="00247547" w:rsidRPr="00142DF6" w:rsidRDefault="00247547" w:rsidP="008F0EAC">
            <w:pPr>
              <w:widowControl w:val="0"/>
              <w:tabs>
                <w:tab w:val="right" w:pos="9360"/>
              </w:tabs>
              <w:suppressAutoHyphens/>
              <w:autoSpaceDE w:val="0"/>
              <w:autoSpaceDN w:val="0"/>
              <w:spacing w:after="0" w:line="240" w:lineRule="auto"/>
              <w:rPr>
                <w:rFonts w:ascii="Arial" w:eastAsia="Times New Roman" w:hAnsi="Arial" w:cs="Arial"/>
                <w:spacing w:val="-2"/>
                <w:sz w:val="24"/>
                <w:szCs w:val="24"/>
              </w:rPr>
            </w:pPr>
          </w:p>
        </w:tc>
        <w:tc>
          <w:tcPr>
            <w:tcW w:w="796" w:type="dxa"/>
          </w:tcPr>
          <w:p w14:paraId="1D522511" w14:textId="77777777" w:rsidR="00247547" w:rsidRPr="00142DF6" w:rsidRDefault="00247547" w:rsidP="008F0EAC">
            <w:pPr>
              <w:spacing w:after="0" w:line="240" w:lineRule="auto"/>
              <w:rPr>
                <w:rFonts w:ascii="Arial" w:eastAsia="Times New Roman" w:hAnsi="Arial" w:cs="Arial"/>
                <w:sz w:val="24"/>
                <w:szCs w:val="24"/>
              </w:rPr>
            </w:pPr>
          </w:p>
        </w:tc>
      </w:tr>
      <w:tr w:rsidR="008200DD" w:rsidRPr="00142DF6" w14:paraId="0A4DDF5A" w14:textId="77777777" w:rsidTr="005460D2">
        <w:trPr>
          <w:trHeight w:val="145"/>
        </w:trPr>
        <w:tc>
          <w:tcPr>
            <w:tcW w:w="12420" w:type="dxa"/>
          </w:tcPr>
          <w:p w14:paraId="78ABCA68" w14:textId="7C86C0F3" w:rsidR="00CB6616" w:rsidRPr="000B19F4" w:rsidRDefault="00247547" w:rsidP="0086414F">
            <w:pPr>
              <w:pStyle w:val="NoSpacing"/>
              <w:numPr>
                <w:ilvl w:val="0"/>
                <w:numId w:val="3"/>
              </w:numPr>
              <w:ind w:left="708" w:right="-18"/>
              <w:rPr>
                <w:rFonts w:ascii="Arial" w:hAnsi="Arial" w:cs="Arial"/>
                <w:sz w:val="24"/>
                <w:szCs w:val="24"/>
              </w:rPr>
            </w:pPr>
            <w:r w:rsidRPr="0086414F">
              <w:rPr>
                <w:rFonts w:ascii="Arial" w:hAnsi="Arial" w:cs="Arial"/>
              </w:rPr>
              <w:t xml:space="preserve">Affordability Period </w:t>
            </w:r>
            <w:r w:rsidR="000F1441" w:rsidRPr="0086414F">
              <w:rPr>
                <w:rFonts w:ascii="Arial" w:hAnsi="Arial" w:cs="Arial"/>
              </w:rPr>
              <w:t>–</w:t>
            </w:r>
            <w:r w:rsidRPr="0086414F">
              <w:rPr>
                <w:rFonts w:ascii="Arial" w:hAnsi="Arial" w:cs="Arial"/>
              </w:rPr>
              <w:t xml:space="preserve"> NAHTF-assisted units are subject to a minimum 5-year affordability </w:t>
            </w:r>
            <w:proofErr w:type="gramStart"/>
            <w:r w:rsidRPr="0086414F">
              <w:rPr>
                <w:rFonts w:ascii="Arial" w:hAnsi="Arial" w:cs="Arial"/>
              </w:rPr>
              <w:t>period</w:t>
            </w:r>
            <w:proofErr w:type="gramEnd"/>
            <w:r w:rsidR="000F1441" w:rsidRPr="0086414F">
              <w:rPr>
                <w:rFonts w:ascii="Arial" w:hAnsi="Arial" w:cs="Arial"/>
              </w:rPr>
              <w:t xml:space="preserve"> but projects may choose longer </w:t>
            </w:r>
            <w:r w:rsidR="00B903A5" w:rsidRPr="0086414F">
              <w:rPr>
                <w:rFonts w:ascii="Arial" w:hAnsi="Arial" w:cs="Arial"/>
              </w:rPr>
              <w:t>and period is stated in</w:t>
            </w:r>
            <w:r w:rsidR="000F1441" w:rsidRPr="0086414F">
              <w:rPr>
                <w:rFonts w:ascii="Arial" w:hAnsi="Arial" w:cs="Arial"/>
              </w:rPr>
              <w:t xml:space="preserve"> application.  </w:t>
            </w:r>
            <w:r w:rsidR="00B903A5" w:rsidRPr="0086414F">
              <w:rPr>
                <w:rFonts w:ascii="Arial" w:hAnsi="Arial" w:cs="Arial"/>
              </w:rPr>
              <w:t>Program Guidelines Affordability Period</w:t>
            </w:r>
            <w:r w:rsidR="000F1441" w:rsidRPr="0086414F">
              <w:rPr>
                <w:rFonts w:ascii="Arial" w:hAnsi="Arial" w:cs="Arial"/>
              </w:rPr>
              <w:t xml:space="preserve"> must </w:t>
            </w:r>
            <w:proofErr w:type="gramStart"/>
            <w:r w:rsidR="000F1441" w:rsidRPr="0086414F">
              <w:rPr>
                <w:rFonts w:ascii="Arial" w:hAnsi="Arial" w:cs="Arial"/>
              </w:rPr>
              <w:t>be in agreement</w:t>
            </w:r>
            <w:proofErr w:type="gramEnd"/>
            <w:r w:rsidR="000F1441" w:rsidRPr="0086414F">
              <w:rPr>
                <w:rFonts w:ascii="Arial" w:hAnsi="Arial" w:cs="Arial"/>
              </w:rPr>
              <w:t xml:space="preserve"> </w:t>
            </w:r>
            <w:r w:rsidR="00696A28" w:rsidRPr="0086414F">
              <w:rPr>
                <w:rFonts w:ascii="Arial" w:hAnsi="Arial" w:cs="Arial"/>
              </w:rPr>
              <w:t>with DED contract</w:t>
            </w:r>
            <w:r w:rsidRPr="0086414F">
              <w:rPr>
                <w:rFonts w:ascii="Arial" w:hAnsi="Arial" w:cs="Arial"/>
              </w:rPr>
              <w:t>.</w:t>
            </w:r>
            <w:r w:rsidR="000F1441" w:rsidRPr="0086414F">
              <w:rPr>
                <w:rFonts w:ascii="Arial" w:hAnsi="Arial" w:cs="Arial"/>
              </w:rPr>
              <w:t xml:space="preserve"> </w:t>
            </w:r>
            <w:r w:rsidRPr="0086414F">
              <w:rPr>
                <w:rFonts w:ascii="Arial" w:hAnsi="Arial" w:cs="Arial"/>
              </w:rPr>
              <w:t xml:space="preserve"> Describe the length of the affordability period for project and describe how the project will be managed as affordable for the length of the affordability period</w:t>
            </w:r>
            <w:r w:rsidR="00696A28" w:rsidRPr="0086414F">
              <w:rPr>
                <w:rFonts w:ascii="Arial" w:hAnsi="Arial" w:cs="Arial"/>
              </w:rPr>
              <w:t>.</w:t>
            </w:r>
          </w:p>
        </w:tc>
        <w:tc>
          <w:tcPr>
            <w:tcW w:w="990" w:type="dxa"/>
          </w:tcPr>
          <w:p w14:paraId="7180ECE4" w14:textId="77777777" w:rsidR="00247547" w:rsidRPr="00142DF6" w:rsidRDefault="00247547" w:rsidP="008F0EAC">
            <w:pPr>
              <w:spacing w:after="0" w:line="240" w:lineRule="auto"/>
              <w:rPr>
                <w:rFonts w:ascii="Arial" w:eastAsia="Times New Roman" w:hAnsi="Arial" w:cs="Arial"/>
                <w:sz w:val="24"/>
                <w:szCs w:val="24"/>
              </w:rPr>
            </w:pPr>
          </w:p>
        </w:tc>
        <w:tc>
          <w:tcPr>
            <w:tcW w:w="540" w:type="dxa"/>
            <w:shd w:val="clear" w:color="auto" w:fill="auto"/>
          </w:tcPr>
          <w:p w14:paraId="7A0CE36E" w14:textId="77777777" w:rsidR="00247547" w:rsidRPr="00142DF6" w:rsidRDefault="00247547" w:rsidP="008F0EAC">
            <w:pPr>
              <w:widowControl w:val="0"/>
              <w:tabs>
                <w:tab w:val="right" w:pos="9360"/>
              </w:tabs>
              <w:suppressAutoHyphens/>
              <w:autoSpaceDE w:val="0"/>
              <w:autoSpaceDN w:val="0"/>
              <w:spacing w:after="0" w:line="240" w:lineRule="auto"/>
              <w:rPr>
                <w:rFonts w:ascii="Arial" w:eastAsia="Times New Roman" w:hAnsi="Arial" w:cs="Arial"/>
                <w:sz w:val="24"/>
                <w:szCs w:val="24"/>
              </w:rPr>
            </w:pPr>
          </w:p>
        </w:tc>
        <w:tc>
          <w:tcPr>
            <w:tcW w:w="796" w:type="dxa"/>
          </w:tcPr>
          <w:p w14:paraId="5B7DF5DC" w14:textId="77777777" w:rsidR="00247547" w:rsidRPr="00142DF6" w:rsidRDefault="00247547" w:rsidP="008F0EAC">
            <w:pPr>
              <w:spacing w:after="0" w:line="240" w:lineRule="auto"/>
              <w:rPr>
                <w:rFonts w:ascii="Arial" w:eastAsia="Times New Roman" w:hAnsi="Arial" w:cs="Arial"/>
                <w:sz w:val="24"/>
                <w:szCs w:val="24"/>
              </w:rPr>
            </w:pPr>
          </w:p>
        </w:tc>
      </w:tr>
      <w:tr w:rsidR="0086414F" w:rsidRPr="00142DF6" w14:paraId="3D19E956" w14:textId="77777777" w:rsidTr="005460D2">
        <w:trPr>
          <w:trHeight w:val="145"/>
        </w:trPr>
        <w:tc>
          <w:tcPr>
            <w:tcW w:w="12420" w:type="dxa"/>
          </w:tcPr>
          <w:p w14:paraId="1335D5AA" w14:textId="6ACD5936" w:rsidR="0086414F" w:rsidRPr="000F1441" w:rsidRDefault="0086414F" w:rsidP="008200DD">
            <w:pPr>
              <w:pStyle w:val="NoSpacing"/>
              <w:numPr>
                <w:ilvl w:val="0"/>
                <w:numId w:val="3"/>
              </w:numPr>
              <w:ind w:right="-18"/>
              <w:rPr>
                <w:rFonts w:ascii="Arial" w:hAnsi="Arial" w:cs="Arial"/>
              </w:rPr>
            </w:pPr>
            <w:r w:rsidRPr="00D845CD">
              <w:rPr>
                <w:rFonts w:ascii="Arial" w:hAnsi="Arial" w:cs="Arial"/>
                <w:spacing w:val="-2"/>
              </w:rPr>
              <w:lastRenderedPageBreak/>
              <w:t xml:space="preserve">Assistance Types and Terms - Program guidelines should describe the type of assistance to be provided to developer/owner, if applicable, i.e., forgivable or non-forgivable loan, including terms, interest rate, etc.  </w:t>
            </w:r>
          </w:p>
        </w:tc>
        <w:tc>
          <w:tcPr>
            <w:tcW w:w="990" w:type="dxa"/>
          </w:tcPr>
          <w:p w14:paraId="1352A850" w14:textId="77777777" w:rsidR="0086414F" w:rsidRPr="00142DF6" w:rsidRDefault="0086414F" w:rsidP="008F0EAC">
            <w:pPr>
              <w:spacing w:after="0" w:line="240" w:lineRule="auto"/>
              <w:rPr>
                <w:rFonts w:ascii="Arial" w:eastAsia="Times New Roman" w:hAnsi="Arial" w:cs="Arial"/>
                <w:sz w:val="24"/>
                <w:szCs w:val="24"/>
              </w:rPr>
            </w:pPr>
          </w:p>
        </w:tc>
        <w:tc>
          <w:tcPr>
            <w:tcW w:w="540" w:type="dxa"/>
            <w:shd w:val="clear" w:color="auto" w:fill="auto"/>
          </w:tcPr>
          <w:p w14:paraId="650FB876" w14:textId="77777777" w:rsidR="0086414F" w:rsidRPr="00142DF6" w:rsidRDefault="0086414F" w:rsidP="008F0EAC">
            <w:pPr>
              <w:widowControl w:val="0"/>
              <w:tabs>
                <w:tab w:val="right" w:pos="9360"/>
              </w:tabs>
              <w:suppressAutoHyphens/>
              <w:autoSpaceDE w:val="0"/>
              <w:autoSpaceDN w:val="0"/>
              <w:spacing w:after="0" w:line="240" w:lineRule="auto"/>
              <w:rPr>
                <w:rFonts w:ascii="Arial" w:eastAsia="Times New Roman" w:hAnsi="Arial" w:cs="Arial"/>
                <w:sz w:val="24"/>
                <w:szCs w:val="24"/>
              </w:rPr>
            </w:pPr>
          </w:p>
        </w:tc>
        <w:tc>
          <w:tcPr>
            <w:tcW w:w="796" w:type="dxa"/>
          </w:tcPr>
          <w:p w14:paraId="272477F0" w14:textId="77777777" w:rsidR="0086414F" w:rsidRPr="00142DF6" w:rsidRDefault="0086414F" w:rsidP="008F0EAC">
            <w:pPr>
              <w:spacing w:after="0" w:line="240" w:lineRule="auto"/>
              <w:rPr>
                <w:rFonts w:ascii="Arial" w:eastAsia="Times New Roman" w:hAnsi="Arial" w:cs="Arial"/>
                <w:sz w:val="24"/>
                <w:szCs w:val="24"/>
              </w:rPr>
            </w:pPr>
          </w:p>
        </w:tc>
      </w:tr>
      <w:tr w:rsidR="008200DD" w:rsidRPr="00142DF6" w14:paraId="1535AFA8" w14:textId="77777777" w:rsidTr="005460D2">
        <w:trPr>
          <w:trHeight w:val="145"/>
        </w:trPr>
        <w:tc>
          <w:tcPr>
            <w:tcW w:w="12420" w:type="dxa"/>
          </w:tcPr>
          <w:p w14:paraId="15261F7C" w14:textId="14EF325F" w:rsidR="00247547" w:rsidRPr="000F1441" w:rsidRDefault="001A21ED" w:rsidP="008200DD">
            <w:pPr>
              <w:pStyle w:val="NoSpacing"/>
              <w:numPr>
                <w:ilvl w:val="0"/>
                <w:numId w:val="3"/>
              </w:numPr>
              <w:ind w:right="-18"/>
              <w:rPr>
                <w:rFonts w:ascii="Arial" w:hAnsi="Arial" w:cs="Arial"/>
              </w:rPr>
            </w:pPr>
            <w:r>
              <w:rPr>
                <w:rFonts w:ascii="Arial" w:hAnsi="Arial" w:cs="Arial"/>
                <w:spacing w:val="-2"/>
              </w:rPr>
              <w:t xml:space="preserve">Affirmative Marketing Policy - </w:t>
            </w:r>
            <w:r w:rsidRPr="00C60B6A">
              <w:rPr>
                <w:rFonts w:ascii="Arial" w:hAnsi="Arial" w:cs="Arial"/>
                <w:spacing w:val="-2"/>
              </w:rPr>
              <w:t>Include statement</w:t>
            </w:r>
            <w:r>
              <w:rPr>
                <w:rFonts w:ascii="Arial" w:hAnsi="Arial" w:cs="Arial"/>
                <w:spacing w:val="-2"/>
              </w:rPr>
              <w:t>, “P</w:t>
            </w:r>
            <w:r w:rsidRPr="00C60B6A">
              <w:rPr>
                <w:rFonts w:ascii="Arial" w:hAnsi="Arial" w:cs="Arial"/>
                <w:spacing w:val="-2"/>
              </w:rPr>
              <w:t>roject will use affirmative marketing procedures including, but not limited to, marketing to local or regional residents &amp; tenants of public housing and manufactured housing, other families assisted by public housing agencies, and households identified to be potentially eligible but least likely to apply</w:t>
            </w:r>
            <w:r w:rsidRPr="00702ECD">
              <w:rPr>
                <w:rFonts w:ascii="Arial" w:hAnsi="Arial" w:cs="Arial"/>
                <w:spacing w:val="-2"/>
              </w:rPr>
              <w:t>, including Seniors and those living with disabilities.”</w:t>
            </w:r>
          </w:p>
        </w:tc>
        <w:tc>
          <w:tcPr>
            <w:tcW w:w="990" w:type="dxa"/>
          </w:tcPr>
          <w:p w14:paraId="7292A718" w14:textId="77777777" w:rsidR="00247547" w:rsidRPr="00142DF6" w:rsidRDefault="00247547" w:rsidP="008F0EAC">
            <w:pPr>
              <w:spacing w:after="0" w:line="240" w:lineRule="auto"/>
              <w:rPr>
                <w:rFonts w:ascii="Arial" w:eastAsia="Times New Roman" w:hAnsi="Arial" w:cs="Arial"/>
                <w:sz w:val="24"/>
                <w:szCs w:val="24"/>
              </w:rPr>
            </w:pPr>
          </w:p>
        </w:tc>
        <w:tc>
          <w:tcPr>
            <w:tcW w:w="540" w:type="dxa"/>
            <w:shd w:val="clear" w:color="auto" w:fill="auto"/>
          </w:tcPr>
          <w:p w14:paraId="7F2135C2" w14:textId="77777777" w:rsidR="00247547" w:rsidRPr="00142DF6" w:rsidRDefault="00247547" w:rsidP="008F0EAC">
            <w:pPr>
              <w:widowControl w:val="0"/>
              <w:tabs>
                <w:tab w:val="right" w:pos="9360"/>
              </w:tabs>
              <w:suppressAutoHyphens/>
              <w:autoSpaceDE w:val="0"/>
              <w:autoSpaceDN w:val="0"/>
              <w:spacing w:after="0" w:line="240" w:lineRule="auto"/>
              <w:rPr>
                <w:rFonts w:ascii="Arial" w:eastAsia="Times New Roman" w:hAnsi="Arial" w:cs="Arial"/>
                <w:spacing w:val="-2"/>
                <w:sz w:val="24"/>
                <w:szCs w:val="24"/>
              </w:rPr>
            </w:pPr>
          </w:p>
        </w:tc>
        <w:tc>
          <w:tcPr>
            <w:tcW w:w="796" w:type="dxa"/>
          </w:tcPr>
          <w:p w14:paraId="38183F00" w14:textId="77777777" w:rsidR="00247547" w:rsidRPr="00142DF6" w:rsidRDefault="00247547" w:rsidP="008F0EAC">
            <w:pPr>
              <w:spacing w:after="0" w:line="240" w:lineRule="auto"/>
              <w:rPr>
                <w:rFonts w:ascii="Arial" w:eastAsia="Times New Roman" w:hAnsi="Arial" w:cs="Arial"/>
                <w:sz w:val="24"/>
                <w:szCs w:val="24"/>
              </w:rPr>
            </w:pPr>
          </w:p>
        </w:tc>
      </w:tr>
      <w:tr w:rsidR="008200DD" w:rsidRPr="00142DF6" w14:paraId="2EE228E9" w14:textId="77777777" w:rsidTr="005460D2">
        <w:trPr>
          <w:trHeight w:val="305"/>
        </w:trPr>
        <w:tc>
          <w:tcPr>
            <w:tcW w:w="12420" w:type="dxa"/>
          </w:tcPr>
          <w:p w14:paraId="59258A6E" w14:textId="0DC102BB" w:rsidR="00762945" w:rsidRPr="000B19F4" w:rsidRDefault="00B903A5" w:rsidP="008200DD">
            <w:pPr>
              <w:pStyle w:val="NoSpacing"/>
              <w:numPr>
                <w:ilvl w:val="0"/>
                <w:numId w:val="3"/>
              </w:numPr>
              <w:ind w:right="-18"/>
              <w:rPr>
                <w:rFonts w:ascii="Arial" w:hAnsi="Arial" w:cs="Arial"/>
                <w:sz w:val="24"/>
                <w:szCs w:val="24"/>
              </w:rPr>
            </w:pPr>
            <w:r w:rsidRPr="00B903A5">
              <w:rPr>
                <w:rFonts w:ascii="Arial" w:hAnsi="Arial" w:cs="Arial"/>
                <w:spacing w:val="-2"/>
              </w:rPr>
              <w:t xml:space="preserve">Nebraska Fair Housing Act - Include policy stating program will </w:t>
            </w:r>
            <w:proofErr w:type="gramStart"/>
            <w:r w:rsidRPr="00B903A5">
              <w:rPr>
                <w:rFonts w:ascii="Arial" w:hAnsi="Arial" w:cs="Arial"/>
                <w:spacing w:val="-2"/>
              </w:rPr>
              <w:t>be in compliance with</w:t>
            </w:r>
            <w:proofErr w:type="gramEnd"/>
            <w:r w:rsidRPr="00B903A5">
              <w:rPr>
                <w:rFonts w:ascii="Arial" w:hAnsi="Arial" w:cs="Arial"/>
                <w:spacing w:val="-2"/>
              </w:rPr>
              <w:t xml:space="preserve"> the Nebraska Fair Housing Act.</w:t>
            </w:r>
          </w:p>
        </w:tc>
        <w:tc>
          <w:tcPr>
            <w:tcW w:w="990" w:type="dxa"/>
          </w:tcPr>
          <w:p w14:paraId="103C88E3" w14:textId="77777777" w:rsidR="00762945" w:rsidRPr="00142DF6" w:rsidRDefault="00762945" w:rsidP="00762945">
            <w:pPr>
              <w:spacing w:after="0" w:line="240" w:lineRule="auto"/>
              <w:rPr>
                <w:rFonts w:ascii="Arial" w:eastAsia="Times New Roman" w:hAnsi="Arial" w:cs="Arial"/>
                <w:sz w:val="24"/>
                <w:szCs w:val="24"/>
              </w:rPr>
            </w:pPr>
          </w:p>
        </w:tc>
        <w:tc>
          <w:tcPr>
            <w:tcW w:w="540" w:type="dxa"/>
            <w:shd w:val="clear" w:color="auto" w:fill="auto"/>
          </w:tcPr>
          <w:p w14:paraId="7D5C27A8" w14:textId="77777777" w:rsidR="00762945" w:rsidRPr="00142DF6" w:rsidRDefault="00762945" w:rsidP="00762945">
            <w:pPr>
              <w:widowControl w:val="0"/>
              <w:tabs>
                <w:tab w:val="right" w:pos="9360"/>
              </w:tabs>
              <w:suppressAutoHyphens/>
              <w:autoSpaceDE w:val="0"/>
              <w:autoSpaceDN w:val="0"/>
              <w:spacing w:after="0" w:line="240" w:lineRule="auto"/>
              <w:rPr>
                <w:rFonts w:ascii="Arial" w:eastAsia="Times New Roman" w:hAnsi="Arial" w:cs="Arial"/>
                <w:spacing w:val="-2"/>
                <w:sz w:val="24"/>
                <w:szCs w:val="24"/>
              </w:rPr>
            </w:pPr>
          </w:p>
        </w:tc>
        <w:tc>
          <w:tcPr>
            <w:tcW w:w="796" w:type="dxa"/>
          </w:tcPr>
          <w:p w14:paraId="536A44E7" w14:textId="77777777" w:rsidR="00762945" w:rsidRPr="00142DF6" w:rsidRDefault="00762945" w:rsidP="00762945">
            <w:pPr>
              <w:spacing w:after="0" w:line="240" w:lineRule="auto"/>
              <w:rPr>
                <w:rFonts w:ascii="Arial" w:eastAsia="Times New Roman" w:hAnsi="Arial" w:cs="Arial"/>
                <w:sz w:val="24"/>
                <w:szCs w:val="24"/>
              </w:rPr>
            </w:pPr>
          </w:p>
        </w:tc>
      </w:tr>
      <w:tr w:rsidR="008200DD" w:rsidRPr="00142DF6" w14:paraId="38F00E0F" w14:textId="77777777" w:rsidTr="005460D2">
        <w:trPr>
          <w:trHeight w:val="1079"/>
        </w:trPr>
        <w:tc>
          <w:tcPr>
            <w:tcW w:w="12420" w:type="dxa"/>
          </w:tcPr>
          <w:p w14:paraId="7070BFEC" w14:textId="38484323" w:rsidR="00762945" w:rsidRPr="000B19F4" w:rsidRDefault="00641F06" w:rsidP="008200DD">
            <w:pPr>
              <w:pStyle w:val="NoSpacing"/>
              <w:numPr>
                <w:ilvl w:val="0"/>
                <w:numId w:val="3"/>
              </w:numPr>
              <w:ind w:right="-18"/>
              <w:rPr>
                <w:rFonts w:ascii="Arial" w:hAnsi="Arial" w:cs="Arial"/>
                <w:spacing w:val="-2"/>
                <w:sz w:val="24"/>
                <w:szCs w:val="24"/>
              </w:rPr>
            </w:pPr>
            <w:r>
              <w:rPr>
                <w:rFonts w:ascii="Arial" w:hAnsi="Arial" w:cs="Arial"/>
              </w:rPr>
              <w:t>Property</w:t>
            </w:r>
            <w:r w:rsidR="003636AD">
              <w:rPr>
                <w:rFonts w:ascii="Arial" w:hAnsi="Arial" w:cs="Arial"/>
              </w:rPr>
              <w:t xml:space="preserve"> Standards - </w:t>
            </w:r>
            <w:r w:rsidR="00762945" w:rsidRPr="003636AD">
              <w:rPr>
                <w:rFonts w:ascii="Arial" w:hAnsi="Arial" w:cs="Arial"/>
              </w:rPr>
              <w:t xml:space="preserve">All purchased or rehabilitated units assisted with NAHTF funds </w:t>
            </w:r>
            <w:r w:rsidR="003636AD">
              <w:rPr>
                <w:rFonts w:ascii="Arial" w:hAnsi="Arial" w:cs="Arial"/>
              </w:rPr>
              <w:t>will</w:t>
            </w:r>
            <w:r w:rsidR="00762945" w:rsidRPr="003636AD">
              <w:rPr>
                <w:rFonts w:ascii="Arial" w:hAnsi="Arial" w:cs="Arial"/>
              </w:rPr>
              <w:t xml:space="preserve"> meet the Department’s Minimum Rehabilitation Standards</w:t>
            </w:r>
            <w:r w:rsidR="003636AD">
              <w:rPr>
                <w:rFonts w:ascii="Arial" w:hAnsi="Arial" w:cs="Arial"/>
              </w:rPr>
              <w:t xml:space="preserve"> and New Construction projects will meet all applicable Federal, State, and Local building </w:t>
            </w:r>
            <w:r w:rsidR="003636AD" w:rsidRPr="0034084A">
              <w:rPr>
                <w:rFonts w:ascii="Arial" w:hAnsi="Arial" w:cs="Arial"/>
              </w:rPr>
              <w:t>codes</w:t>
            </w:r>
            <w:r>
              <w:rPr>
                <w:rFonts w:ascii="Arial" w:hAnsi="Arial" w:cs="Arial"/>
              </w:rPr>
              <w:t xml:space="preserve">, including </w:t>
            </w:r>
            <w:r w:rsidR="005C7241" w:rsidRPr="004866C8">
              <w:rPr>
                <w:rFonts w:ascii="Arial" w:hAnsi="Arial" w:cs="Arial"/>
              </w:rPr>
              <w:t>N</w:t>
            </w:r>
            <w:r w:rsidR="005C7241">
              <w:rPr>
                <w:rFonts w:ascii="Arial" w:hAnsi="Arial" w:cs="Arial"/>
              </w:rPr>
              <w:t>ebraska Department of Environment and Energy (NDEE)</w:t>
            </w:r>
            <w:r w:rsidR="005C7241" w:rsidRPr="004866C8">
              <w:rPr>
                <w:rFonts w:ascii="Arial" w:hAnsi="Arial" w:cs="Arial"/>
              </w:rPr>
              <w:t>.</w:t>
            </w:r>
            <w:r w:rsidR="00762945" w:rsidRPr="0034084A">
              <w:rPr>
                <w:rFonts w:ascii="Arial" w:hAnsi="Arial" w:cs="Arial"/>
              </w:rPr>
              <w:t xml:space="preserve"> </w:t>
            </w:r>
            <w:r w:rsidR="00292520" w:rsidRPr="0034084A">
              <w:rPr>
                <w:rFonts w:ascii="Arial" w:hAnsi="Arial" w:cs="Arial"/>
              </w:rPr>
              <w:t xml:space="preserve">New Construction </w:t>
            </w:r>
            <w:r w:rsidR="00706B76" w:rsidRPr="0034084A">
              <w:rPr>
                <w:rFonts w:ascii="Arial" w:hAnsi="Arial" w:cs="Arial"/>
              </w:rPr>
              <w:t>sites may not be located in a federally designated 100-year flood zone</w:t>
            </w:r>
            <w:r w:rsidR="00292520" w:rsidRPr="0034084A">
              <w:rPr>
                <w:rFonts w:ascii="Arial" w:hAnsi="Arial" w:cs="Arial"/>
              </w:rPr>
              <w:t>. Existing units in the SFHA may be considered when current flood insurance or LOMA</w:t>
            </w:r>
            <w:r w:rsidR="00706B76" w:rsidRPr="0034084A">
              <w:rPr>
                <w:rFonts w:ascii="Arial" w:hAnsi="Arial" w:cs="Arial"/>
              </w:rPr>
              <w:t xml:space="preserve"> are proven, documented and a system of annual verification is put into place. </w:t>
            </w:r>
            <w:r w:rsidR="00292520" w:rsidRPr="0034084A">
              <w:rPr>
                <w:rFonts w:ascii="Arial" w:hAnsi="Arial" w:cs="Arial"/>
              </w:rPr>
              <w:t xml:space="preserve">Recipients of NAHTF funds should be working with qualified contractors to complete NAHTF funded work.  </w:t>
            </w:r>
          </w:p>
        </w:tc>
        <w:tc>
          <w:tcPr>
            <w:tcW w:w="990" w:type="dxa"/>
          </w:tcPr>
          <w:p w14:paraId="307FC01D" w14:textId="77777777" w:rsidR="00762945" w:rsidRPr="00142DF6" w:rsidRDefault="00762945" w:rsidP="00762945">
            <w:pPr>
              <w:spacing w:after="0" w:line="240" w:lineRule="auto"/>
              <w:rPr>
                <w:rFonts w:ascii="Arial" w:eastAsia="Times New Roman" w:hAnsi="Arial" w:cs="Arial"/>
                <w:sz w:val="24"/>
                <w:szCs w:val="24"/>
              </w:rPr>
            </w:pPr>
          </w:p>
        </w:tc>
        <w:tc>
          <w:tcPr>
            <w:tcW w:w="540" w:type="dxa"/>
            <w:shd w:val="clear" w:color="auto" w:fill="auto"/>
          </w:tcPr>
          <w:p w14:paraId="2FF9EA49" w14:textId="77777777" w:rsidR="00762945" w:rsidRPr="00142DF6" w:rsidRDefault="00762945" w:rsidP="00762945">
            <w:pPr>
              <w:widowControl w:val="0"/>
              <w:tabs>
                <w:tab w:val="right" w:pos="9360"/>
              </w:tabs>
              <w:suppressAutoHyphens/>
              <w:autoSpaceDE w:val="0"/>
              <w:autoSpaceDN w:val="0"/>
              <w:spacing w:after="0" w:line="240" w:lineRule="auto"/>
              <w:rPr>
                <w:rFonts w:ascii="Arial" w:eastAsia="Times New Roman" w:hAnsi="Arial" w:cs="Arial"/>
                <w:spacing w:val="-2"/>
                <w:sz w:val="24"/>
                <w:szCs w:val="24"/>
              </w:rPr>
            </w:pPr>
          </w:p>
        </w:tc>
        <w:tc>
          <w:tcPr>
            <w:tcW w:w="796" w:type="dxa"/>
          </w:tcPr>
          <w:p w14:paraId="219DAC84" w14:textId="77777777" w:rsidR="00762945" w:rsidRPr="00142DF6" w:rsidRDefault="00762945" w:rsidP="00762945">
            <w:pPr>
              <w:spacing w:after="0" w:line="240" w:lineRule="auto"/>
              <w:rPr>
                <w:rFonts w:ascii="Arial" w:eastAsia="Times New Roman" w:hAnsi="Arial" w:cs="Arial"/>
                <w:sz w:val="24"/>
                <w:szCs w:val="24"/>
              </w:rPr>
            </w:pPr>
          </w:p>
        </w:tc>
      </w:tr>
      <w:tr w:rsidR="008200DD" w:rsidRPr="00142DF6" w14:paraId="2F228D98" w14:textId="77777777" w:rsidTr="0053207D">
        <w:trPr>
          <w:trHeight w:val="2123"/>
        </w:trPr>
        <w:tc>
          <w:tcPr>
            <w:tcW w:w="12420" w:type="dxa"/>
          </w:tcPr>
          <w:p w14:paraId="4A08679C" w14:textId="2839F6A0" w:rsidR="00762945" w:rsidRPr="000B19F4" w:rsidRDefault="00762945" w:rsidP="008200DD">
            <w:pPr>
              <w:widowControl w:val="0"/>
              <w:numPr>
                <w:ilvl w:val="0"/>
                <w:numId w:val="3"/>
              </w:numPr>
              <w:tabs>
                <w:tab w:val="right" w:pos="450"/>
              </w:tabs>
              <w:suppressAutoHyphens/>
              <w:autoSpaceDE w:val="0"/>
              <w:autoSpaceDN w:val="0"/>
              <w:spacing w:after="0" w:line="240" w:lineRule="auto"/>
              <w:ind w:right="-18"/>
              <w:rPr>
                <w:rFonts w:ascii="Arial" w:hAnsi="Arial" w:cs="Arial"/>
                <w:sz w:val="24"/>
                <w:szCs w:val="24"/>
              </w:rPr>
            </w:pPr>
            <w:r w:rsidRPr="003636AD">
              <w:rPr>
                <w:rFonts w:ascii="Arial" w:hAnsi="Arial" w:cs="Arial"/>
                <w:spacing w:val="-2"/>
              </w:rPr>
              <w:t xml:space="preserve">Radon </w:t>
            </w:r>
            <w:r w:rsidR="003636AD">
              <w:rPr>
                <w:rFonts w:ascii="Arial" w:hAnsi="Arial" w:cs="Arial"/>
                <w:spacing w:val="-2"/>
              </w:rPr>
              <w:t>M</w:t>
            </w:r>
            <w:r w:rsidRPr="003636AD">
              <w:rPr>
                <w:rFonts w:ascii="Arial" w:hAnsi="Arial" w:cs="Arial"/>
                <w:spacing w:val="-2"/>
              </w:rPr>
              <w:t xml:space="preserve">itigation </w:t>
            </w:r>
            <w:r w:rsidR="003636AD">
              <w:rPr>
                <w:rFonts w:ascii="Arial" w:hAnsi="Arial" w:cs="Arial"/>
                <w:spacing w:val="-2"/>
              </w:rPr>
              <w:t>P</w:t>
            </w:r>
            <w:r w:rsidRPr="003636AD">
              <w:rPr>
                <w:rFonts w:ascii="Arial" w:hAnsi="Arial" w:cs="Arial"/>
                <w:spacing w:val="-2"/>
              </w:rPr>
              <w:t>olicy</w:t>
            </w:r>
            <w:r w:rsidR="003636AD">
              <w:rPr>
                <w:rFonts w:ascii="Arial" w:hAnsi="Arial" w:cs="Arial"/>
                <w:spacing w:val="-2"/>
              </w:rPr>
              <w:t xml:space="preserve"> – </w:t>
            </w:r>
            <w:r w:rsidR="00B4161C">
              <w:rPr>
                <w:rFonts w:ascii="Arial" w:hAnsi="Arial" w:cs="Arial"/>
                <w:spacing w:val="-2"/>
              </w:rPr>
              <w:t xml:space="preserve">As part of the application process, </w:t>
            </w:r>
            <w:r w:rsidR="00B4161C" w:rsidRPr="00B4161C">
              <w:rPr>
                <w:rFonts w:ascii="Arial" w:hAnsi="Arial" w:cs="Arial"/>
                <w:spacing w:val="-2"/>
                <w:u w:val="single"/>
              </w:rPr>
              <w:t>e</w:t>
            </w:r>
            <w:r w:rsidR="003636AD" w:rsidRPr="00B4161C">
              <w:rPr>
                <w:rFonts w:ascii="Arial" w:hAnsi="Arial" w:cs="Arial"/>
                <w:spacing w:val="-2"/>
                <w:u w:val="single"/>
              </w:rPr>
              <w:t xml:space="preserve">very </w:t>
            </w:r>
            <w:r w:rsidRPr="00B4161C">
              <w:rPr>
                <w:rFonts w:ascii="Arial" w:hAnsi="Arial" w:cs="Arial"/>
                <w:spacing w:val="-2"/>
                <w:u w:val="single"/>
              </w:rPr>
              <w:t>tenant</w:t>
            </w:r>
            <w:r w:rsidR="003636AD">
              <w:rPr>
                <w:rFonts w:ascii="Arial" w:hAnsi="Arial" w:cs="Arial"/>
                <w:spacing w:val="-2"/>
              </w:rPr>
              <w:t xml:space="preserve"> </w:t>
            </w:r>
            <w:r w:rsidR="00B4161C">
              <w:rPr>
                <w:rFonts w:ascii="Arial" w:hAnsi="Arial" w:cs="Arial"/>
                <w:spacing w:val="-2"/>
              </w:rPr>
              <w:t>shall receive educational material informing them on the risks of radon.</w:t>
            </w:r>
            <w:r w:rsidRPr="003636AD">
              <w:rPr>
                <w:rFonts w:ascii="Arial" w:hAnsi="Arial" w:cs="Arial"/>
                <w:spacing w:val="-2"/>
              </w:rPr>
              <w:t xml:space="preserve"> </w:t>
            </w:r>
            <w:r w:rsidR="003636AD">
              <w:rPr>
                <w:rFonts w:ascii="Arial" w:hAnsi="Arial" w:cs="Arial"/>
                <w:spacing w:val="-2"/>
              </w:rPr>
              <w:t xml:space="preserve">In addition, for </w:t>
            </w:r>
            <w:r w:rsidRPr="003636AD">
              <w:rPr>
                <w:rFonts w:ascii="Arial" w:hAnsi="Arial" w:cs="Arial"/>
                <w:b/>
                <w:bCs/>
                <w:spacing w:val="-2"/>
              </w:rPr>
              <w:t>new construction</w:t>
            </w:r>
            <w:r w:rsidR="003636AD">
              <w:rPr>
                <w:rFonts w:ascii="Arial" w:hAnsi="Arial" w:cs="Arial"/>
                <w:b/>
                <w:bCs/>
                <w:spacing w:val="-2"/>
              </w:rPr>
              <w:t>,</w:t>
            </w:r>
            <w:r w:rsidR="003636AD">
              <w:rPr>
                <w:rFonts w:ascii="Arial" w:hAnsi="Arial" w:cs="Arial"/>
                <w:spacing w:val="-2"/>
              </w:rPr>
              <w:t xml:space="preserve"> </w:t>
            </w:r>
            <w:r w:rsidRPr="003636AD">
              <w:rPr>
                <w:rFonts w:ascii="Arial" w:hAnsi="Arial" w:cs="Arial"/>
                <w:spacing w:val="-2"/>
              </w:rPr>
              <w:t xml:space="preserve">a passive active radon mitigation system </w:t>
            </w:r>
            <w:r w:rsidRPr="003636AD">
              <w:rPr>
                <w:rFonts w:ascii="Arial" w:hAnsi="Arial" w:cs="Arial"/>
                <w:spacing w:val="-2"/>
                <w:u w:val="single"/>
              </w:rPr>
              <w:t>must be</w:t>
            </w:r>
            <w:r w:rsidRPr="003636AD">
              <w:rPr>
                <w:rFonts w:ascii="Arial" w:hAnsi="Arial" w:cs="Arial"/>
                <w:spacing w:val="-2"/>
              </w:rPr>
              <w:t xml:space="preserve"> installed, and a test conducted.  If test indicates need, the system will be activated.</w:t>
            </w:r>
            <w:r w:rsidR="003636AD">
              <w:rPr>
                <w:rFonts w:ascii="Arial" w:hAnsi="Arial" w:cs="Arial"/>
                <w:spacing w:val="-2"/>
              </w:rPr>
              <w:t xml:space="preserve">  </w:t>
            </w:r>
            <w:r w:rsidRPr="003636AD">
              <w:rPr>
                <w:rFonts w:ascii="Arial" w:hAnsi="Arial" w:cs="Arial"/>
                <w:b/>
                <w:bCs/>
                <w:spacing w:val="-2"/>
              </w:rPr>
              <w:t>For Rehab projects,</w:t>
            </w:r>
            <w:r w:rsidRPr="003636AD">
              <w:rPr>
                <w:rFonts w:ascii="Arial" w:hAnsi="Arial" w:cs="Arial"/>
                <w:spacing w:val="-2"/>
              </w:rPr>
              <w:t xml:space="preserve"> a test kit </w:t>
            </w:r>
            <w:r w:rsidRPr="003636AD">
              <w:rPr>
                <w:rFonts w:ascii="Arial" w:hAnsi="Arial" w:cs="Arial"/>
                <w:spacing w:val="-2"/>
                <w:u w:val="single"/>
              </w:rPr>
              <w:t xml:space="preserve">shall be </w:t>
            </w:r>
            <w:r w:rsidR="003636AD">
              <w:rPr>
                <w:rFonts w:ascii="Arial" w:hAnsi="Arial" w:cs="Arial"/>
                <w:spacing w:val="-2"/>
                <w:u w:val="single"/>
              </w:rPr>
              <w:t>provided</w:t>
            </w:r>
            <w:r w:rsidRPr="003636AD">
              <w:rPr>
                <w:rFonts w:ascii="Arial" w:hAnsi="Arial" w:cs="Arial"/>
                <w:spacing w:val="-2"/>
              </w:rPr>
              <w:t xml:space="preserve"> to the tenant.  </w:t>
            </w:r>
            <w:r w:rsidR="003636AD">
              <w:rPr>
                <w:rFonts w:ascii="Arial" w:hAnsi="Arial" w:cs="Arial"/>
                <w:spacing w:val="-2"/>
              </w:rPr>
              <w:t>Program guidelines</w:t>
            </w:r>
            <w:r w:rsidRPr="003636AD">
              <w:rPr>
                <w:rFonts w:ascii="Arial" w:hAnsi="Arial" w:cs="Arial"/>
                <w:spacing w:val="-2"/>
              </w:rPr>
              <w:t xml:space="preserve"> </w:t>
            </w:r>
            <w:r w:rsidRPr="003636AD">
              <w:rPr>
                <w:rFonts w:ascii="Arial" w:hAnsi="Arial" w:cs="Arial"/>
                <w:i/>
                <w:iCs/>
                <w:spacing w:val="-2"/>
              </w:rPr>
              <w:t>may</w:t>
            </w:r>
            <w:r w:rsidRPr="003636AD">
              <w:rPr>
                <w:rFonts w:ascii="Arial" w:hAnsi="Arial" w:cs="Arial"/>
                <w:spacing w:val="-2"/>
              </w:rPr>
              <w:t xml:space="preserve"> </w:t>
            </w:r>
            <w:r w:rsidR="003636AD">
              <w:rPr>
                <w:rFonts w:ascii="Arial" w:hAnsi="Arial" w:cs="Arial"/>
                <w:spacing w:val="-2"/>
              </w:rPr>
              <w:t>also cover</w:t>
            </w:r>
            <w:r w:rsidRPr="003636AD">
              <w:rPr>
                <w:rFonts w:ascii="Arial" w:hAnsi="Arial" w:cs="Arial"/>
                <w:spacing w:val="-2"/>
              </w:rPr>
              <w:t xml:space="preserve"> the following: mandatory education; testing, required mitigation (installation of a radon system)</w:t>
            </w:r>
            <w:r w:rsidR="003C1D00">
              <w:rPr>
                <w:rFonts w:ascii="Arial" w:hAnsi="Arial" w:cs="Arial"/>
                <w:spacing w:val="-2"/>
              </w:rPr>
              <w:t>, steps</w:t>
            </w:r>
            <w:r w:rsidRPr="003636AD">
              <w:rPr>
                <w:rFonts w:ascii="Arial" w:hAnsi="Arial" w:cs="Arial"/>
                <w:spacing w:val="-2"/>
              </w:rPr>
              <w:t xml:space="preserve"> if levels are found high, (or informed consent to avoid mitigation, etc.) </w:t>
            </w:r>
            <w:r w:rsidRPr="00B4161C">
              <w:rPr>
                <w:rFonts w:ascii="Arial" w:hAnsi="Arial" w:cs="Arial"/>
                <w:i/>
                <w:iCs/>
                <w:spacing w:val="-2"/>
              </w:rPr>
              <w:t>DED encourages discussions with builders, lenders &amp; program administrators about proactive engagement of radon issues and collaboration with agencies such as Nebraska Dept. of Health and Human Service (</w:t>
            </w:r>
            <w:hyperlink r:id="rId9" w:history="1">
              <w:r w:rsidRPr="00B4161C">
                <w:rPr>
                  <w:rStyle w:val="Hyperlink"/>
                  <w:rFonts w:ascii="Arial" w:hAnsi="Arial" w:cs="Arial"/>
                  <w:i/>
                  <w:iCs/>
                  <w:spacing w:val="-2"/>
                </w:rPr>
                <w:t>http://dhhs.ne.gov/Pages/Radon.aspx</w:t>
              </w:r>
            </w:hyperlink>
            <w:r w:rsidRPr="00B4161C">
              <w:rPr>
                <w:rFonts w:ascii="Arial" w:hAnsi="Arial" w:cs="Arial"/>
                <w:i/>
                <w:iCs/>
                <w:spacing w:val="-2"/>
              </w:rPr>
              <w:t>).</w:t>
            </w:r>
          </w:p>
        </w:tc>
        <w:tc>
          <w:tcPr>
            <w:tcW w:w="990" w:type="dxa"/>
          </w:tcPr>
          <w:p w14:paraId="3F7BB6AB" w14:textId="77777777" w:rsidR="00762945" w:rsidRPr="00142DF6" w:rsidRDefault="00762945" w:rsidP="00762945">
            <w:pPr>
              <w:spacing w:after="0" w:line="240" w:lineRule="auto"/>
              <w:rPr>
                <w:rFonts w:ascii="Arial" w:eastAsia="Times New Roman" w:hAnsi="Arial" w:cs="Arial"/>
                <w:sz w:val="24"/>
                <w:szCs w:val="24"/>
              </w:rPr>
            </w:pPr>
          </w:p>
        </w:tc>
        <w:tc>
          <w:tcPr>
            <w:tcW w:w="540" w:type="dxa"/>
            <w:shd w:val="clear" w:color="auto" w:fill="auto"/>
          </w:tcPr>
          <w:p w14:paraId="081BA6A6" w14:textId="77777777" w:rsidR="00762945" w:rsidRPr="00142DF6" w:rsidRDefault="00762945" w:rsidP="00762945">
            <w:pPr>
              <w:widowControl w:val="0"/>
              <w:tabs>
                <w:tab w:val="right" w:pos="9360"/>
              </w:tabs>
              <w:suppressAutoHyphens/>
              <w:autoSpaceDE w:val="0"/>
              <w:autoSpaceDN w:val="0"/>
              <w:spacing w:after="0" w:line="240" w:lineRule="auto"/>
              <w:rPr>
                <w:rFonts w:ascii="Arial" w:eastAsia="Times New Roman" w:hAnsi="Arial" w:cs="Arial"/>
                <w:spacing w:val="-2"/>
                <w:sz w:val="24"/>
                <w:szCs w:val="24"/>
              </w:rPr>
            </w:pPr>
          </w:p>
        </w:tc>
        <w:tc>
          <w:tcPr>
            <w:tcW w:w="796" w:type="dxa"/>
          </w:tcPr>
          <w:p w14:paraId="27D4F0B1" w14:textId="77777777" w:rsidR="00762945" w:rsidRPr="00142DF6" w:rsidRDefault="00762945" w:rsidP="00762945">
            <w:pPr>
              <w:spacing w:after="0" w:line="240" w:lineRule="auto"/>
              <w:rPr>
                <w:rFonts w:ascii="Arial" w:eastAsia="Times New Roman" w:hAnsi="Arial" w:cs="Arial"/>
                <w:sz w:val="24"/>
                <w:szCs w:val="24"/>
              </w:rPr>
            </w:pPr>
          </w:p>
        </w:tc>
      </w:tr>
      <w:tr w:rsidR="0059039F" w:rsidRPr="00142DF6" w14:paraId="5C20D866" w14:textId="77777777" w:rsidTr="005460D2">
        <w:trPr>
          <w:trHeight w:val="145"/>
        </w:trPr>
        <w:tc>
          <w:tcPr>
            <w:tcW w:w="12420" w:type="dxa"/>
          </w:tcPr>
          <w:p w14:paraId="479B7212" w14:textId="37F21D1B" w:rsidR="0059039F" w:rsidRPr="005460D2" w:rsidRDefault="0059039F" w:rsidP="0059039F">
            <w:pPr>
              <w:pStyle w:val="NoSpacing"/>
              <w:numPr>
                <w:ilvl w:val="0"/>
                <w:numId w:val="3"/>
              </w:numPr>
              <w:ind w:right="-18"/>
              <w:rPr>
                <w:rFonts w:ascii="Arial" w:hAnsi="Arial" w:cs="Arial"/>
              </w:rPr>
            </w:pPr>
            <w:r w:rsidRPr="005460D2">
              <w:rPr>
                <w:rFonts w:ascii="Arial" w:hAnsi="Arial" w:cs="Arial"/>
              </w:rPr>
              <w:t>Annual Rent Review and Utilities Allowance – Describe process for conducting annual rent review.</w:t>
            </w:r>
          </w:p>
        </w:tc>
        <w:tc>
          <w:tcPr>
            <w:tcW w:w="990" w:type="dxa"/>
          </w:tcPr>
          <w:p w14:paraId="31740404" w14:textId="77777777" w:rsidR="0059039F" w:rsidRPr="00142DF6" w:rsidRDefault="0059039F" w:rsidP="0059039F">
            <w:pPr>
              <w:spacing w:after="0" w:line="240" w:lineRule="auto"/>
              <w:rPr>
                <w:rFonts w:ascii="Arial" w:eastAsia="Times New Roman" w:hAnsi="Arial" w:cs="Arial"/>
                <w:sz w:val="24"/>
                <w:szCs w:val="24"/>
              </w:rPr>
            </w:pPr>
          </w:p>
        </w:tc>
        <w:tc>
          <w:tcPr>
            <w:tcW w:w="540" w:type="dxa"/>
            <w:shd w:val="clear" w:color="auto" w:fill="auto"/>
          </w:tcPr>
          <w:p w14:paraId="4ACAE15F" w14:textId="77777777" w:rsidR="0059039F" w:rsidRPr="00142DF6" w:rsidRDefault="0059039F" w:rsidP="0059039F">
            <w:pPr>
              <w:widowControl w:val="0"/>
              <w:tabs>
                <w:tab w:val="right" w:pos="9360"/>
              </w:tabs>
              <w:suppressAutoHyphens/>
              <w:autoSpaceDE w:val="0"/>
              <w:autoSpaceDN w:val="0"/>
              <w:spacing w:after="0" w:line="240" w:lineRule="auto"/>
              <w:rPr>
                <w:rFonts w:ascii="Arial" w:eastAsia="Times New Roman" w:hAnsi="Arial" w:cs="Arial"/>
                <w:spacing w:val="-2"/>
                <w:sz w:val="24"/>
                <w:szCs w:val="24"/>
              </w:rPr>
            </w:pPr>
          </w:p>
        </w:tc>
        <w:tc>
          <w:tcPr>
            <w:tcW w:w="796" w:type="dxa"/>
          </w:tcPr>
          <w:p w14:paraId="6434E422" w14:textId="77777777" w:rsidR="0059039F" w:rsidRPr="00142DF6" w:rsidRDefault="0059039F" w:rsidP="0059039F">
            <w:pPr>
              <w:spacing w:after="0" w:line="240" w:lineRule="auto"/>
              <w:rPr>
                <w:rFonts w:ascii="Arial" w:eastAsia="Times New Roman" w:hAnsi="Arial" w:cs="Arial"/>
                <w:sz w:val="24"/>
                <w:szCs w:val="24"/>
              </w:rPr>
            </w:pPr>
          </w:p>
        </w:tc>
      </w:tr>
      <w:tr w:rsidR="0059039F" w:rsidRPr="00142DF6" w14:paraId="3F2A1D9B" w14:textId="77777777" w:rsidTr="005460D2">
        <w:trPr>
          <w:trHeight w:val="145"/>
        </w:trPr>
        <w:tc>
          <w:tcPr>
            <w:tcW w:w="12420" w:type="dxa"/>
          </w:tcPr>
          <w:p w14:paraId="4503D66A" w14:textId="059E928D" w:rsidR="0059039F" w:rsidRPr="005460D2" w:rsidRDefault="0059039F" w:rsidP="0059039F">
            <w:pPr>
              <w:pStyle w:val="NoSpacing"/>
              <w:numPr>
                <w:ilvl w:val="0"/>
                <w:numId w:val="3"/>
              </w:numPr>
              <w:ind w:right="-18"/>
              <w:rPr>
                <w:rFonts w:ascii="Arial" w:hAnsi="Arial" w:cs="Arial"/>
                <w:sz w:val="24"/>
                <w:szCs w:val="24"/>
              </w:rPr>
            </w:pPr>
            <w:r w:rsidRPr="005460D2">
              <w:rPr>
                <w:rFonts w:ascii="Arial" w:hAnsi="Arial" w:cs="Arial"/>
              </w:rPr>
              <w:t xml:space="preserve">Tenant Selection Policy - Project </w:t>
            </w:r>
            <w:r w:rsidR="00CB6616" w:rsidRPr="005460D2">
              <w:rPr>
                <w:rFonts w:ascii="Arial" w:hAnsi="Arial" w:cs="Arial"/>
              </w:rPr>
              <w:t>will</w:t>
            </w:r>
            <w:r w:rsidRPr="005460D2">
              <w:rPr>
                <w:rFonts w:ascii="Arial" w:hAnsi="Arial" w:cs="Arial"/>
              </w:rPr>
              <w:t xml:space="preserve"> </w:t>
            </w:r>
            <w:r w:rsidR="00CB6616" w:rsidRPr="005460D2">
              <w:rPr>
                <w:rFonts w:ascii="Arial" w:hAnsi="Arial" w:cs="Arial"/>
              </w:rPr>
              <w:t xml:space="preserve">provide </w:t>
            </w:r>
            <w:r w:rsidR="004A158C" w:rsidRPr="005460D2">
              <w:rPr>
                <w:rFonts w:ascii="Arial" w:hAnsi="Arial" w:cs="Arial"/>
              </w:rPr>
              <w:t>p</w:t>
            </w:r>
            <w:r w:rsidR="00CB6616" w:rsidRPr="005460D2">
              <w:rPr>
                <w:rFonts w:ascii="Arial" w:hAnsi="Arial" w:cs="Arial"/>
              </w:rPr>
              <w:t>olicy</w:t>
            </w:r>
            <w:r w:rsidRPr="005460D2">
              <w:rPr>
                <w:rFonts w:ascii="Arial" w:hAnsi="Arial" w:cs="Arial"/>
              </w:rPr>
              <w:t xml:space="preserve"> </w:t>
            </w:r>
            <w:r w:rsidR="00CB6616" w:rsidRPr="005460D2">
              <w:rPr>
                <w:rFonts w:ascii="Arial" w:hAnsi="Arial" w:cs="Arial"/>
              </w:rPr>
              <w:t>prior to Special Conditions approval</w:t>
            </w:r>
            <w:r w:rsidR="004A158C" w:rsidRPr="005460D2">
              <w:rPr>
                <w:rFonts w:ascii="Arial" w:hAnsi="Arial" w:cs="Arial"/>
              </w:rPr>
              <w:t xml:space="preserve"> as appendix item</w:t>
            </w:r>
            <w:r w:rsidR="00CB6616" w:rsidRPr="005460D2">
              <w:rPr>
                <w:rFonts w:ascii="Arial" w:hAnsi="Arial" w:cs="Arial"/>
              </w:rPr>
              <w:t>.</w:t>
            </w:r>
          </w:p>
        </w:tc>
        <w:tc>
          <w:tcPr>
            <w:tcW w:w="990" w:type="dxa"/>
          </w:tcPr>
          <w:p w14:paraId="3F4576C0" w14:textId="77777777" w:rsidR="0059039F" w:rsidRPr="00142DF6" w:rsidRDefault="0059039F" w:rsidP="0059039F">
            <w:pPr>
              <w:spacing w:after="0" w:line="240" w:lineRule="auto"/>
              <w:rPr>
                <w:rFonts w:ascii="Arial" w:eastAsia="Times New Roman" w:hAnsi="Arial" w:cs="Arial"/>
                <w:sz w:val="24"/>
                <w:szCs w:val="24"/>
              </w:rPr>
            </w:pPr>
          </w:p>
        </w:tc>
        <w:tc>
          <w:tcPr>
            <w:tcW w:w="540" w:type="dxa"/>
            <w:shd w:val="clear" w:color="auto" w:fill="auto"/>
          </w:tcPr>
          <w:p w14:paraId="66E98036" w14:textId="77777777" w:rsidR="0059039F" w:rsidRPr="00142DF6" w:rsidRDefault="0059039F" w:rsidP="0059039F">
            <w:pPr>
              <w:widowControl w:val="0"/>
              <w:tabs>
                <w:tab w:val="right" w:pos="9360"/>
              </w:tabs>
              <w:suppressAutoHyphens/>
              <w:autoSpaceDE w:val="0"/>
              <w:autoSpaceDN w:val="0"/>
              <w:spacing w:after="0" w:line="240" w:lineRule="auto"/>
              <w:rPr>
                <w:rFonts w:ascii="Arial" w:eastAsia="Times New Roman" w:hAnsi="Arial" w:cs="Arial"/>
                <w:spacing w:val="-2"/>
                <w:sz w:val="24"/>
                <w:szCs w:val="24"/>
              </w:rPr>
            </w:pPr>
          </w:p>
        </w:tc>
        <w:tc>
          <w:tcPr>
            <w:tcW w:w="796" w:type="dxa"/>
          </w:tcPr>
          <w:p w14:paraId="26E87701" w14:textId="77777777" w:rsidR="0059039F" w:rsidRPr="00142DF6" w:rsidRDefault="0059039F" w:rsidP="0059039F">
            <w:pPr>
              <w:spacing w:after="0" w:line="240" w:lineRule="auto"/>
              <w:rPr>
                <w:rFonts w:ascii="Arial" w:eastAsia="Times New Roman" w:hAnsi="Arial" w:cs="Arial"/>
                <w:sz w:val="24"/>
                <w:szCs w:val="24"/>
              </w:rPr>
            </w:pPr>
          </w:p>
        </w:tc>
      </w:tr>
      <w:tr w:rsidR="0059039F" w:rsidRPr="00142DF6" w14:paraId="69526D6B" w14:textId="77777777" w:rsidTr="005460D2">
        <w:trPr>
          <w:trHeight w:val="145"/>
        </w:trPr>
        <w:tc>
          <w:tcPr>
            <w:tcW w:w="12420" w:type="dxa"/>
          </w:tcPr>
          <w:p w14:paraId="4B802F92" w14:textId="63D1E66C" w:rsidR="0059039F" w:rsidRPr="005460D2" w:rsidRDefault="0059039F" w:rsidP="0059039F">
            <w:pPr>
              <w:pStyle w:val="NoSpacing"/>
              <w:numPr>
                <w:ilvl w:val="0"/>
                <w:numId w:val="3"/>
              </w:numPr>
              <w:ind w:right="-18"/>
              <w:rPr>
                <w:rFonts w:ascii="Arial" w:hAnsi="Arial" w:cs="Arial"/>
              </w:rPr>
            </w:pPr>
            <w:r w:rsidRPr="005460D2">
              <w:rPr>
                <w:rFonts w:ascii="Arial" w:hAnsi="Arial" w:cs="Arial"/>
              </w:rPr>
              <w:t xml:space="preserve">Tenant Rules and Regulations - Project </w:t>
            </w:r>
            <w:r w:rsidR="00CB6616" w:rsidRPr="005460D2">
              <w:rPr>
                <w:rFonts w:ascii="Arial" w:hAnsi="Arial" w:cs="Arial"/>
              </w:rPr>
              <w:t>will provide</w:t>
            </w:r>
            <w:r w:rsidRPr="005460D2">
              <w:rPr>
                <w:rFonts w:ascii="Arial" w:hAnsi="Arial" w:cs="Arial"/>
              </w:rPr>
              <w:t xml:space="preserve"> clearly defined Tenant Rules and Regulations</w:t>
            </w:r>
            <w:r w:rsidR="00CB6616" w:rsidRPr="005460D2">
              <w:rPr>
                <w:rFonts w:ascii="Arial" w:hAnsi="Arial" w:cs="Arial"/>
              </w:rPr>
              <w:t xml:space="preserve"> prior to Special Conditions approval</w:t>
            </w:r>
            <w:r w:rsidR="004A158C" w:rsidRPr="005460D2">
              <w:rPr>
                <w:rFonts w:ascii="Arial" w:hAnsi="Arial" w:cs="Arial"/>
              </w:rPr>
              <w:t xml:space="preserve"> as appendix to Program Guidelines</w:t>
            </w:r>
            <w:r w:rsidR="00CB6616" w:rsidRPr="005460D2">
              <w:rPr>
                <w:rFonts w:ascii="Arial" w:hAnsi="Arial" w:cs="Arial"/>
              </w:rPr>
              <w:t>.</w:t>
            </w:r>
          </w:p>
        </w:tc>
        <w:tc>
          <w:tcPr>
            <w:tcW w:w="990" w:type="dxa"/>
          </w:tcPr>
          <w:p w14:paraId="0FADC3B1" w14:textId="77777777" w:rsidR="0059039F" w:rsidRPr="00142DF6" w:rsidRDefault="0059039F" w:rsidP="0059039F">
            <w:pPr>
              <w:spacing w:after="0" w:line="240" w:lineRule="auto"/>
              <w:rPr>
                <w:rFonts w:ascii="Arial" w:eastAsia="Times New Roman" w:hAnsi="Arial" w:cs="Arial"/>
                <w:sz w:val="24"/>
                <w:szCs w:val="24"/>
              </w:rPr>
            </w:pPr>
          </w:p>
        </w:tc>
        <w:tc>
          <w:tcPr>
            <w:tcW w:w="540" w:type="dxa"/>
            <w:shd w:val="clear" w:color="auto" w:fill="auto"/>
          </w:tcPr>
          <w:p w14:paraId="18391400" w14:textId="77777777" w:rsidR="0059039F" w:rsidRPr="00142DF6" w:rsidRDefault="0059039F" w:rsidP="0059039F">
            <w:pPr>
              <w:widowControl w:val="0"/>
              <w:tabs>
                <w:tab w:val="right" w:pos="9360"/>
              </w:tabs>
              <w:suppressAutoHyphens/>
              <w:autoSpaceDE w:val="0"/>
              <w:autoSpaceDN w:val="0"/>
              <w:spacing w:after="0" w:line="240" w:lineRule="auto"/>
              <w:rPr>
                <w:rFonts w:ascii="Arial" w:eastAsia="Times New Roman" w:hAnsi="Arial" w:cs="Arial"/>
                <w:spacing w:val="-2"/>
                <w:sz w:val="24"/>
                <w:szCs w:val="24"/>
              </w:rPr>
            </w:pPr>
          </w:p>
        </w:tc>
        <w:tc>
          <w:tcPr>
            <w:tcW w:w="796" w:type="dxa"/>
          </w:tcPr>
          <w:p w14:paraId="60C10E67" w14:textId="77777777" w:rsidR="0059039F" w:rsidRPr="00142DF6" w:rsidRDefault="0059039F" w:rsidP="0059039F">
            <w:pPr>
              <w:spacing w:after="0" w:line="240" w:lineRule="auto"/>
              <w:rPr>
                <w:rFonts w:ascii="Arial" w:eastAsia="Times New Roman" w:hAnsi="Arial" w:cs="Arial"/>
                <w:sz w:val="24"/>
                <w:szCs w:val="24"/>
              </w:rPr>
            </w:pPr>
          </w:p>
        </w:tc>
      </w:tr>
      <w:tr w:rsidR="0059039F" w:rsidRPr="00142DF6" w14:paraId="167DB81B" w14:textId="77777777" w:rsidTr="005460D2">
        <w:trPr>
          <w:trHeight w:val="145"/>
        </w:trPr>
        <w:tc>
          <w:tcPr>
            <w:tcW w:w="12420" w:type="dxa"/>
          </w:tcPr>
          <w:p w14:paraId="4DBE9EA5" w14:textId="2F713616" w:rsidR="0059039F" w:rsidRPr="005460D2" w:rsidRDefault="0059039F" w:rsidP="0059039F">
            <w:pPr>
              <w:pStyle w:val="NoSpacing"/>
              <w:numPr>
                <w:ilvl w:val="0"/>
                <w:numId w:val="3"/>
              </w:numPr>
              <w:ind w:left="690" w:right="-18"/>
              <w:rPr>
                <w:rFonts w:ascii="Arial" w:hAnsi="Arial" w:cs="Arial"/>
                <w:sz w:val="24"/>
                <w:szCs w:val="24"/>
              </w:rPr>
            </w:pPr>
            <w:r w:rsidRPr="005460D2">
              <w:rPr>
                <w:rFonts w:ascii="Arial" w:hAnsi="Arial" w:cs="Arial"/>
              </w:rPr>
              <w:t xml:space="preserve">Proposed Lease Agreement – Project must have proposed lease agreement that is not in conflict with Nebraska Landlord Tenant Law and does not contain any prohibited provisions either explicitly stated or implied. </w:t>
            </w:r>
            <w:r w:rsidR="00E16D41" w:rsidRPr="005460D2">
              <w:rPr>
                <w:rFonts w:ascii="Arial" w:hAnsi="Arial" w:cs="Arial"/>
              </w:rPr>
              <w:t>Proposed lease agreement</w:t>
            </w:r>
            <w:r w:rsidR="00CB6616" w:rsidRPr="005460D2">
              <w:rPr>
                <w:rFonts w:ascii="Arial" w:hAnsi="Arial" w:cs="Arial"/>
              </w:rPr>
              <w:t xml:space="preserve"> will be provided prior to Special Conditions approval</w:t>
            </w:r>
            <w:r w:rsidR="004A158C" w:rsidRPr="005460D2">
              <w:rPr>
                <w:rFonts w:ascii="Arial" w:hAnsi="Arial" w:cs="Arial"/>
              </w:rPr>
              <w:t xml:space="preserve"> as appendix to Program Guidelines</w:t>
            </w:r>
            <w:r w:rsidR="00CB6616" w:rsidRPr="005460D2">
              <w:rPr>
                <w:rFonts w:ascii="Arial" w:hAnsi="Arial" w:cs="Arial"/>
              </w:rPr>
              <w:t>.</w:t>
            </w:r>
          </w:p>
        </w:tc>
        <w:tc>
          <w:tcPr>
            <w:tcW w:w="990" w:type="dxa"/>
          </w:tcPr>
          <w:p w14:paraId="24D909E4" w14:textId="77777777" w:rsidR="0059039F" w:rsidRPr="00142DF6" w:rsidRDefault="0059039F" w:rsidP="0059039F">
            <w:pPr>
              <w:spacing w:after="0" w:line="240" w:lineRule="auto"/>
              <w:rPr>
                <w:rFonts w:ascii="Arial" w:eastAsia="Times New Roman" w:hAnsi="Arial" w:cs="Arial"/>
                <w:sz w:val="24"/>
                <w:szCs w:val="24"/>
              </w:rPr>
            </w:pPr>
          </w:p>
        </w:tc>
        <w:tc>
          <w:tcPr>
            <w:tcW w:w="540" w:type="dxa"/>
            <w:shd w:val="clear" w:color="auto" w:fill="auto"/>
          </w:tcPr>
          <w:p w14:paraId="355D4386" w14:textId="77777777" w:rsidR="0059039F" w:rsidRPr="00142DF6" w:rsidRDefault="0059039F" w:rsidP="0059039F">
            <w:pPr>
              <w:widowControl w:val="0"/>
              <w:tabs>
                <w:tab w:val="right" w:pos="9360"/>
              </w:tabs>
              <w:suppressAutoHyphens/>
              <w:autoSpaceDE w:val="0"/>
              <w:autoSpaceDN w:val="0"/>
              <w:spacing w:after="0" w:line="240" w:lineRule="auto"/>
              <w:rPr>
                <w:rFonts w:ascii="Arial" w:eastAsia="Times New Roman" w:hAnsi="Arial" w:cs="Arial"/>
                <w:spacing w:val="-2"/>
                <w:sz w:val="24"/>
                <w:szCs w:val="24"/>
              </w:rPr>
            </w:pPr>
          </w:p>
        </w:tc>
        <w:tc>
          <w:tcPr>
            <w:tcW w:w="796" w:type="dxa"/>
          </w:tcPr>
          <w:p w14:paraId="55F44166" w14:textId="77777777" w:rsidR="0059039F" w:rsidRPr="00142DF6" w:rsidRDefault="0059039F" w:rsidP="0059039F">
            <w:pPr>
              <w:spacing w:after="0" w:line="240" w:lineRule="auto"/>
              <w:rPr>
                <w:rFonts w:ascii="Arial" w:eastAsia="Times New Roman" w:hAnsi="Arial" w:cs="Arial"/>
                <w:sz w:val="24"/>
                <w:szCs w:val="24"/>
              </w:rPr>
            </w:pPr>
          </w:p>
        </w:tc>
      </w:tr>
      <w:tr w:rsidR="0059039F" w:rsidRPr="00142DF6" w14:paraId="3ADC15C0" w14:textId="77777777" w:rsidTr="0053207D">
        <w:trPr>
          <w:trHeight w:val="543"/>
        </w:trPr>
        <w:tc>
          <w:tcPr>
            <w:tcW w:w="12420" w:type="dxa"/>
          </w:tcPr>
          <w:p w14:paraId="2D7C440C" w14:textId="202754D0" w:rsidR="0059039F" w:rsidRPr="000B19F4" w:rsidRDefault="0059039F" w:rsidP="0059039F">
            <w:pPr>
              <w:pStyle w:val="NoSpacing"/>
              <w:numPr>
                <w:ilvl w:val="0"/>
                <w:numId w:val="3"/>
              </w:numPr>
              <w:ind w:right="-18"/>
              <w:rPr>
                <w:rFonts w:ascii="Arial" w:hAnsi="Arial" w:cs="Arial"/>
                <w:sz w:val="24"/>
                <w:szCs w:val="24"/>
              </w:rPr>
            </w:pPr>
            <w:r w:rsidRPr="00D05470">
              <w:rPr>
                <w:rFonts w:ascii="Arial" w:hAnsi="Arial" w:cs="Arial"/>
              </w:rPr>
              <w:t xml:space="preserve">If the </w:t>
            </w:r>
            <w:r>
              <w:rPr>
                <w:rFonts w:ascii="Arial" w:hAnsi="Arial" w:cs="Arial"/>
              </w:rPr>
              <w:t>Project</w:t>
            </w:r>
            <w:r w:rsidRPr="00D05470">
              <w:rPr>
                <w:rFonts w:ascii="Arial" w:hAnsi="Arial" w:cs="Arial"/>
              </w:rPr>
              <w:t xml:space="preserve"> has a lease purchase program, the Applicant must have a Transition Plan (from rental to homeownership). </w:t>
            </w:r>
            <w:r w:rsidRPr="004A158C">
              <w:rPr>
                <w:rFonts w:ascii="Arial" w:hAnsi="Arial" w:cs="Arial"/>
              </w:rPr>
              <w:t>This</w:t>
            </w:r>
            <w:r w:rsidR="004A158C" w:rsidRPr="004A158C">
              <w:rPr>
                <w:rFonts w:ascii="Arial" w:hAnsi="Arial" w:cs="Arial"/>
              </w:rPr>
              <w:t xml:space="preserve"> will be provided prior to Special Conditions approval as an appendix to Program Guidelines.</w:t>
            </w:r>
          </w:p>
        </w:tc>
        <w:tc>
          <w:tcPr>
            <w:tcW w:w="990" w:type="dxa"/>
          </w:tcPr>
          <w:p w14:paraId="134B4E10" w14:textId="77777777" w:rsidR="0059039F" w:rsidRPr="00142DF6" w:rsidRDefault="0059039F" w:rsidP="0059039F">
            <w:pPr>
              <w:spacing w:after="0" w:line="240" w:lineRule="auto"/>
              <w:rPr>
                <w:rFonts w:ascii="Arial" w:eastAsia="Times New Roman" w:hAnsi="Arial" w:cs="Arial"/>
                <w:sz w:val="24"/>
                <w:szCs w:val="24"/>
              </w:rPr>
            </w:pPr>
          </w:p>
        </w:tc>
        <w:tc>
          <w:tcPr>
            <w:tcW w:w="540" w:type="dxa"/>
            <w:shd w:val="clear" w:color="auto" w:fill="auto"/>
          </w:tcPr>
          <w:p w14:paraId="4AFE7D26" w14:textId="77777777" w:rsidR="0059039F" w:rsidRPr="00142DF6" w:rsidRDefault="0059039F" w:rsidP="0059039F">
            <w:pPr>
              <w:widowControl w:val="0"/>
              <w:tabs>
                <w:tab w:val="right" w:pos="9360"/>
              </w:tabs>
              <w:suppressAutoHyphens/>
              <w:autoSpaceDE w:val="0"/>
              <w:autoSpaceDN w:val="0"/>
              <w:spacing w:after="0" w:line="240" w:lineRule="auto"/>
              <w:rPr>
                <w:rFonts w:ascii="Arial" w:eastAsia="Times New Roman" w:hAnsi="Arial" w:cs="Arial"/>
                <w:spacing w:val="-2"/>
                <w:sz w:val="24"/>
                <w:szCs w:val="24"/>
              </w:rPr>
            </w:pPr>
          </w:p>
        </w:tc>
        <w:tc>
          <w:tcPr>
            <w:tcW w:w="796" w:type="dxa"/>
          </w:tcPr>
          <w:p w14:paraId="201403A2" w14:textId="77777777" w:rsidR="0059039F" w:rsidRPr="00142DF6" w:rsidRDefault="0059039F" w:rsidP="0059039F">
            <w:pPr>
              <w:spacing w:after="0" w:line="240" w:lineRule="auto"/>
              <w:rPr>
                <w:rFonts w:ascii="Arial" w:eastAsia="Times New Roman" w:hAnsi="Arial" w:cs="Arial"/>
                <w:sz w:val="24"/>
                <w:szCs w:val="24"/>
              </w:rPr>
            </w:pPr>
          </w:p>
        </w:tc>
      </w:tr>
      <w:tr w:rsidR="0059039F" w:rsidRPr="00142DF6" w14:paraId="427B26B7" w14:textId="77777777" w:rsidTr="0053207D">
        <w:trPr>
          <w:trHeight w:val="145"/>
        </w:trPr>
        <w:tc>
          <w:tcPr>
            <w:tcW w:w="12420" w:type="dxa"/>
          </w:tcPr>
          <w:p w14:paraId="283B2D8F" w14:textId="1A7183A1" w:rsidR="0059039F" w:rsidRPr="00D05470" w:rsidRDefault="0059039F" w:rsidP="0059039F">
            <w:pPr>
              <w:pStyle w:val="NoSpacing"/>
              <w:numPr>
                <w:ilvl w:val="0"/>
                <w:numId w:val="3"/>
              </w:numPr>
              <w:ind w:right="-18"/>
              <w:rPr>
                <w:rFonts w:ascii="Arial" w:hAnsi="Arial" w:cs="Arial"/>
              </w:rPr>
            </w:pPr>
            <w:r>
              <w:rPr>
                <w:rFonts w:ascii="Arial" w:hAnsi="Arial" w:cs="Arial"/>
              </w:rPr>
              <w:t xml:space="preserve">Tenant Education - </w:t>
            </w:r>
            <w:r w:rsidRPr="00D05470">
              <w:rPr>
                <w:rFonts w:ascii="Arial" w:hAnsi="Arial" w:cs="Arial"/>
              </w:rPr>
              <w:t>Tenant education is required for all tenants of fixed unit rental projects.  Department recommends new construction and conversion projects with floating units require the tenant education for all tenants in all units</w:t>
            </w:r>
            <w:r>
              <w:rPr>
                <w:rFonts w:ascii="Arial" w:hAnsi="Arial" w:cs="Arial"/>
              </w:rPr>
              <w:t xml:space="preserve"> and receive proof of completed training</w:t>
            </w:r>
            <w:r w:rsidRPr="00D05470">
              <w:rPr>
                <w:rFonts w:ascii="Arial" w:hAnsi="Arial" w:cs="Arial"/>
              </w:rPr>
              <w:t xml:space="preserve">.  Tenant </w:t>
            </w:r>
            <w:r w:rsidR="00D845CD">
              <w:rPr>
                <w:rFonts w:ascii="Arial" w:hAnsi="Arial" w:cs="Arial"/>
              </w:rPr>
              <w:t>e</w:t>
            </w:r>
            <w:r w:rsidRPr="00D05470">
              <w:rPr>
                <w:rFonts w:ascii="Arial" w:hAnsi="Arial" w:cs="Arial"/>
              </w:rPr>
              <w:t>ducation provider may include Rent</w:t>
            </w:r>
            <w:r w:rsidR="0086414F">
              <w:rPr>
                <w:rFonts w:ascii="Arial" w:hAnsi="Arial" w:cs="Arial"/>
              </w:rPr>
              <w:t>w</w:t>
            </w:r>
            <w:r w:rsidRPr="00D05470">
              <w:rPr>
                <w:rFonts w:ascii="Arial" w:hAnsi="Arial" w:cs="Arial"/>
              </w:rPr>
              <w:t>ise</w:t>
            </w:r>
            <w:r w:rsidR="00D057C4">
              <w:rPr>
                <w:rFonts w:ascii="Arial" w:hAnsi="Arial" w:cs="Arial"/>
              </w:rPr>
              <w:t xml:space="preserve">, or </w:t>
            </w:r>
            <w:proofErr w:type="gramStart"/>
            <w:r w:rsidR="00D057C4">
              <w:rPr>
                <w:rFonts w:ascii="Arial" w:hAnsi="Arial" w:cs="Arial"/>
              </w:rPr>
              <w:t>other</w:t>
            </w:r>
            <w:proofErr w:type="gramEnd"/>
            <w:r w:rsidRPr="00D05470">
              <w:rPr>
                <w:rFonts w:ascii="Arial" w:hAnsi="Arial" w:cs="Arial"/>
              </w:rPr>
              <w:t xml:space="preserve"> Department approved equivalent.  </w:t>
            </w:r>
            <w:r>
              <w:rPr>
                <w:rFonts w:ascii="Arial" w:hAnsi="Arial" w:cs="Arial"/>
              </w:rPr>
              <w:t xml:space="preserve">Describe process of obtaining tenant education if </w:t>
            </w:r>
            <w:r w:rsidR="00D845CD">
              <w:rPr>
                <w:rFonts w:ascii="Arial" w:hAnsi="Arial" w:cs="Arial"/>
              </w:rPr>
              <w:t>r</w:t>
            </w:r>
            <w:r>
              <w:rPr>
                <w:rFonts w:ascii="Arial" w:hAnsi="Arial" w:cs="Arial"/>
              </w:rPr>
              <w:t>ehabilitation project involves existing tenants.</w:t>
            </w:r>
          </w:p>
        </w:tc>
        <w:tc>
          <w:tcPr>
            <w:tcW w:w="990" w:type="dxa"/>
          </w:tcPr>
          <w:p w14:paraId="014F9361" w14:textId="77777777" w:rsidR="0059039F" w:rsidRPr="00142DF6" w:rsidRDefault="0059039F" w:rsidP="0059039F">
            <w:pPr>
              <w:spacing w:after="0" w:line="240" w:lineRule="auto"/>
              <w:rPr>
                <w:rFonts w:ascii="Arial" w:eastAsia="Times New Roman" w:hAnsi="Arial" w:cs="Arial"/>
                <w:sz w:val="24"/>
                <w:szCs w:val="24"/>
              </w:rPr>
            </w:pPr>
          </w:p>
        </w:tc>
        <w:tc>
          <w:tcPr>
            <w:tcW w:w="540" w:type="dxa"/>
            <w:shd w:val="clear" w:color="auto" w:fill="auto"/>
          </w:tcPr>
          <w:p w14:paraId="64D5AE34" w14:textId="77777777" w:rsidR="0059039F" w:rsidRPr="00142DF6" w:rsidRDefault="0059039F" w:rsidP="0059039F">
            <w:pPr>
              <w:spacing w:after="0" w:line="240" w:lineRule="auto"/>
              <w:rPr>
                <w:rFonts w:ascii="Arial" w:eastAsia="Times New Roman" w:hAnsi="Arial" w:cs="Arial"/>
                <w:sz w:val="24"/>
                <w:szCs w:val="24"/>
              </w:rPr>
            </w:pPr>
          </w:p>
        </w:tc>
        <w:tc>
          <w:tcPr>
            <w:tcW w:w="796" w:type="dxa"/>
          </w:tcPr>
          <w:p w14:paraId="7488E30C" w14:textId="77777777" w:rsidR="0059039F" w:rsidRPr="00142DF6" w:rsidRDefault="0059039F" w:rsidP="0059039F">
            <w:pPr>
              <w:spacing w:after="0" w:line="240" w:lineRule="auto"/>
              <w:rPr>
                <w:rFonts w:ascii="Arial" w:eastAsia="Times New Roman" w:hAnsi="Arial" w:cs="Arial"/>
                <w:sz w:val="24"/>
                <w:szCs w:val="24"/>
              </w:rPr>
            </w:pPr>
          </w:p>
        </w:tc>
      </w:tr>
      <w:tr w:rsidR="0059039F" w:rsidRPr="00142DF6" w14:paraId="66F1F4D5" w14:textId="77777777" w:rsidTr="0053207D">
        <w:trPr>
          <w:trHeight w:val="145"/>
        </w:trPr>
        <w:tc>
          <w:tcPr>
            <w:tcW w:w="12420" w:type="dxa"/>
          </w:tcPr>
          <w:p w14:paraId="5D82A18F" w14:textId="18A9263E" w:rsidR="0059039F" w:rsidRPr="00D05470" w:rsidRDefault="0059039F" w:rsidP="0059039F">
            <w:pPr>
              <w:pStyle w:val="NoSpacing"/>
              <w:numPr>
                <w:ilvl w:val="0"/>
                <w:numId w:val="3"/>
              </w:numPr>
              <w:ind w:right="-18"/>
              <w:rPr>
                <w:rFonts w:ascii="Arial" w:hAnsi="Arial" w:cs="Arial"/>
              </w:rPr>
            </w:pPr>
            <w:r>
              <w:rPr>
                <w:rFonts w:ascii="Arial" w:hAnsi="Arial" w:cs="Arial"/>
              </w:rPr>
              <w:t xml:space="preserve">Washer and Dryer Requirement – Statement </w:t>
            </w:r>
            <w:r w:rsidR="00D845CD">
              <w:rPr>
                <w:rFonts w:ascii="Arial" w:hAnsi="Arial" w:cs="Arial"/>
              </w:rPr>
              <w:t>that</w:t>
            </w:r>
            <w:r>
              <w:rPr>
                <w:rFonts w:ascii="Arial" w:hAnsi="Arial" w:cs="Arial"/>
              </w:rPr>
              <w:t xml:space="preserve"> </w:t>
            </w:r>
            <w:r w:rsidR="00D845CD">
              <w:rPr>
                <w:rFonts w:ascii="Arial" w:hAnsi="Arial" w:cs="Arial"/>
              </w:rPr>
              <w:t xml:space="preserve">assures </w:t>
            </w:r>
            <w:r w:rsidRPr="00FE1B46">
              <w:rPr>
                <w:rFonts w:ascii="Arial" w:hAnsi="Arial" w:cs="Arial"/>
                <w:u w:val="single"/>
              </w:rPr>
              <w:t>every</w:t>
            </w:r>
            <w:r>
              <w:rPr>
                <w:rFonts w:ascii="Arial" w:hAnsi="Arial" w:cs="Arial"/>
              </w:rPr>
              <w:t xml:space="preserve"> unit will have its own</w:t>
            </w:r>
            <w:r w:rsidRPr="00E53609">
              <w:rPr>
                <w:rFonts w:ascii="Arial" w:hAnsi="Arial" w:cs="Arial"/>
              </w:rPr>
              <w:t xml:space="preserve"> washer and dryer for new construction projects.  For rehabilitation projects (if feasible), assurance that a washer and dryer </w:t>
            </w:r>
            <w:r w:rsidRPr="00FE1B46">
              <w:rPr>
                <w:rFonts w:ascii="Arial" w:hAnsi="Arial" w:cs="Arial"/>
                <w:u w:val="single"/>
              </w:rPr>
              <w:t>will be included</w:t>
            </w:r>
            <w:r w:rsidRPr="00E53609">
              <w:rPr>
                <w:rFonts w:ascii="Arial" w:hAnsi="Arial" w:cs="Arial"/>
              </w:rPr>
              <w:t xml:space="preserve"> in every unit, and if not feasible (i.e., size of rehabilitated units will not provide space for washer and dryer) then an on-site laundry facility is required</w:t>
            </w:r>
            <w:r>
              <w:rPr>
                <w:rFonts w:ascii="Arial" w:hAnsi="Arial" w:cs="Arial"/>
              </w:rPr>
              <w:t xml:space="preserve"> and will be provided</w:t>
            </w:r>
            <w:r w:rsidRPr="00E53609">
              <w:rPr>
                <w:rFonts w:ascii="Arial" w:hAnsi="Arial" w:cs="Arial"/>
              </w:rPr>
              <w:t xml:space="preserve">.  </w:t>
            </w:r>
          </w:p>
        </w:tc>
        <w:tc>
          <w:tcPr>
            <w:tcW w:w="990" w:type="dxa"/>
          </w:tcPr>
          <w:p w14:paraId="777CC54F" w14:textId="77777777" w:rsidR="0059039F" w:rsidRPr="00142DF6" w:rsidRDefault="0059039F" w:rsidP="0059039F">
            <w:pPr>
              <w:spacing w:after="0" w:line="240" w:lineRule="auto"/>
              <w:rPr>
                <w:rFonts w:ascii="Arial" w:eastAsia="Times New Roman" w:hAnsi="Arial" w:cs="Arial"/>
                <w:sz w:val="24"/>
                <w:szCs w:val="24"/>
              </w:rPr>
            </w:pPr>
          </w:p>
        </w:tc>
        <w:tc>
          <w:tcPr>
            <w:tcW w:w="540" w:type="dxa"/>
            <w:shd w:val="clear" w:color="auto" w:fill="auto"/>
          </w:tcPr>
          <w:p w14:paraId="08AA6A27" w14:textId="77777777" w:rsidR="0059039F" w:rsidRPr="00142DF6" w:rsidRDefault="0059039F" w:rsidP="0059039F">
            <w:pPr>
              <w:spacing w:after="0" w:line="240" w:lineRule="auto"/>
              <w:rPr>
                <w:rFonts w:ascii="Arial" w:eastAsia="Times New Roman" w:hAnsi="Arial" w:cs="Arial"/>
                <w:sz w:val="24"/>
                <w:szCs w:val="24"/>
              </w:rPr>
            </w:pPr>
          </w:p>
        </w:tc>
        <w:tc>
          <w:tcPr>
            <w:tcW w:w="796" w:type="dxa"/>
          </w:tcPr>
          <w:p w14:paraId="0CB716CA" w14:textId="77777777" w:rsidR="0059039F" w:rsidRPr="00142DF6" w:rsidRDefault="0059039F" w:rsidP="0059039F">
            <w:pPr>
              <w:spacing w:after="0" w:line="240" w:lineRule="auto"/>
              <w:rPr>
                <w:rFonts w:ascii="Arial" w:eastAsia="Times New Roman" w:hAnsi="Arial" w:cs="Arial"/>
                <w:sz w:val="24"/>
                <w:szCs w:val="24"/>
              </w:rPr>
            </w:pPr>
          </w:p>
        </w:tc>
      </w:tr>
      <w:tr w:rsidR="0059039F" w:rsidRPr="00142DF6" w14:paraId="0694C812" w14:textId="77777777" w:rsidTr="0053207D">
        <w:trPr>
          <w:trHeight w:val="575"/>
        </w:trPr>
        <w:tc>
          <w:tcPr>
            <w:tcW w:w="12420" w:type="dxa"/>
          </w:tcPr>
          <w:p w14:paraId="1802A7EF" w14:textId="1B1B9F75" w:rsidR="0059039F" w:rsidRPr="000B19F4" w:rsidRDefault="0059039F" w:rsidP="0059039F">
            <w:pPr>
              <w:pStyle w:val="NoSpacing"/>
              <w:numPr>
                <w:ilvl w:val="0"/>
                <w:numId w:val="3"/>
              </w:numPr>
              <w:ind w:right="-18"/>
              <w:rPr>
                <w:rFonts w:ascii="Arial" w:hAnsi="Arial" w:cs="Arial"/>
                <w:sz w:val="24"/>
                <w:szCs w:val="24"/>
              </w:rPr>
            </w:pPr>
            <w:r w:rsidRPr="00E53609">
              <w:rPr>
                <w:rFonts w:ascii="Arial" w:hAnsi="Arial" w:cs="Arial"/>
              </w:rPr>
              <w:t xml:space="preserve">Process of Amending Guidelines – Statement that any revisions made to these program guidelines must be approved by the governing body and submitted for approval of amendment to </w:t>
            </w:r>
            <w:r w:rsidR="00CB6616">
              <w:rPr>
                <w:rFonts w:ascii="Arial" w:hAnsi="Arial" w:cs="Arial"/>
              </w:rPr>
              <w:t>NDED.</w:t>
            </w:r>
          </w:p>
        </w:tc>
        <w:tc>
          <w:tcPr>
            <w:tcW w:w="990" w:type="dxa"/>
          </w:tcPr>
          <w:p w14:paraId="38F143FB" w14:textId="77777777" w:rsidR="0059039F" w:rsidRPr="00142DF6" w:rsidRDefault="0059039F" w:rsidP="0059039F">
            <w:pPr>
              <w:spacing w:after="0" w:line="240" w:lineRule="auto"/>
              <w:rPr>
                <w:rFonts w:ascii="Arial" w:eastAsia="Times New Roman" w:hAnsi="Arial" w:cs="Arial"/>
                <w:sz w:val="24"/>
                <w:szCs w:val="24"/>
              </w:rPr>
            </w:pPr>
          </w:p>
        </w:tc>
        <w:tc>
          <w:tcPr>
            <w:tcW w:w="540" w:type="dxa"/>
            <w:shd w:val="clear" w:color="auto" w:fill="auto"/>
          </w:tcPr>
          <w:p w14:paraId="1AC9CAF4" w14:textId="77777777" w:rsidR="0059039F" w:rsidRPr="00142DF6" w:rsidRDefault="0059039F" w:rsidP="0059039F">
            <w:pPr>
              <w:spacing w:after="0" w:line="240" w:lineRule="auto"/>
              <w:rPr>
                <w:rFonts w:ascii="Arial" w:eastAsia="Times New Roman" w:hAnsi="Arial" w:cs="Arial"/>
                <w:sz w:val="24"/>
                <w:szCs w:val="24"/>
              </w:rPr>
            </w:pPr>
          </w:p>
        </w:tc>
        <w:tc>
          <w:tcPr>
            <w:tcW w:w="796" w:type="dxa"/>
          </w:tcPr>
          <w:p w14:paraId="4A7BB327" w14:textId="77777777" w:rsidR="0059039F" w:rsidRPr="00142DF6" w:rsidRDefault="0059039F" w:rsidP="0059039F">
            <w:pPr>
              <w:spacing w:after="0" w:line="240" w:lineRule="auto"/>
              <w:rPr>
                <w:rFonts w:ascii="Arial" w:eastAsia="Times New Roman" w:hAnsi="Arial" w:cs="Arial"/>
                <w:sz w:val="24"/>
                <w:szCs w:val="24"/>
              </w:rPr>
            </w:pPr>
          </w:p>
        </w:tc>
      </w:tr>
      <w:tr w:rsidR="0059039F" w:rsidRPr="00142DF6" w14:paraId="28348C7C" w14:textId="77777777" w:rsidTr="009F18CB">
        <w:trPr>
          <w:trHeight w:val="341"/>
        </w:trPr>
        <w:tc>
          <w:tcPr>
            <w:tcW w:w="12420" w:type="dxa"/>
          </w:tcPr>
          <w:p w14:paraId="227537FB" w14:textId="6C2B6E6F" w:rsidR="0059039F" w:rsidRDefault="0059039F" w:rsidP="0059039F">
            <w:pPr>
              <w:pStyle w:val="ListParagraph"/>
              <w:numPr>
                <w:ilvl w:val="0"/>
                <w:numId w:val="3"/>
              </w:numPr>
              <w:spacing w:after="0" w:line="240" w:lineRule="auto"/>
              <w:ind w:right="-14"/>
              <w:rPr>
                <w:rFonts w:ascii="Arial" w:hAnsi="Arial" w:cs="Arial"/>
              </w:rPr>
            </w:pPr>
            <w:r>
              <w:rPr>
                <w:rFonts w:ascii="Arial" w:hAnsi="Arial" w:cs="Arial"/>
              </w:rPr>
              <w:t>G</w:t>
            </w:r>
            <w:r w:rsidR="009F18CB">
              <w:rPr>
                <w:rFonts w:ascii="Arial" w:hAnsi="Arial" w:cs="Arial"/>
              </w:rPr>
              <w:t>ri</w:t>
            </w:r>
            <w:r>
              <w:rPr>
                <w:rFonts w:ascii="Arial" w:hAnsi="Arial" w:cs="Arial"/>
              </w:rPr>
              <w:t xml:space="preserve">evance Procedures – </w:t>
            </w:r>
            <w:r w:rsidR="009F18CB">
              <w:rPr>
                <w:rFonts w:ascii="Arial" w:hAnsi="Arial" w:cs="Arial"/>
              </w:rPr>
              <w:t>P</w:t>
            </w:r>
            <w:r>
              <w:rPr>
                <w:rFonts w:ascii="Arial" w:hAnsi="Arial" w:cs="Arial"/>
              </w:rPr>
              <w:t>rocess for applicants (tenants) to address grievances pertaining to application process.</w:t>
            </w:r>
          </w:p>
        </w:tc>
        <w:tc>
          <w:tcPr>
            <w:tcW w:w="990" w:type="dxa"/>
          </w:tcPr>
          <w:p w14:paraId="05F14B24" w14:textId="77777777" w:rsidR="0059039F" w:rsidRPr="00142DF6" w:rsidRDefault="0059039F" w:rsidP="0059039F">
            <w:pPr>
              <w:spacing w:after="0" w:line="240" w:lineRule="auto"/>
              <w:rPr>
                <w:rFonts w:ascii="Arial" w:eastAsia="Times New Roman" w:hAnsi="Arial" w:cs="Arial"/>
                <w:sz w:val="24"/>
                <w:szCs w:val="24"/>
              </w:rPr>
            </w:pPr>
          </w:p>
        </w:tc>
        <w:tc>
          <w:tcPr>
            <w:tcW w:w="540" w:type="dxa"/>
            <w:shd w:val="clear" w:color="auto" w:fill="auto"/>
          </w:tcPr>
          <w:p w14:paraId="14DC44FA" w14:textId="77777777" w:rsidR="0059039F" w:rsidRPr="00142DF6" w:rsidRDefault="0059039F" w:rsidP="0059039F">
            <w:pPr>
              <w:spacing w:after="0" w:line="240" w:lineRule="auto"/>
              <w:rPr>
                <w:rFonts w:ascii="Arial" w:eastAsia="Times New Roman" w:hAnsi="Arial" w:cs="Arial"/>
                <w:sz w:val="24"/>
                <w:szCs w:val="24"/>
              </w:rPr>
            </w:pPr>
          </w:p>
        </w:tc>
        <w:tc>
          <w:tcPr>
            <w:tcW w:w="796" w:type="dxa"/>
          </w:tcPr>
          <w:p w14:paraId="614ED454" w14:textId="77777777" w:rsidR="0059039F" w:rsidRPr="00142DF6" w:rsidRDefault="0059039F" w:rsidP="0059039F">
            <w:pPr>
              <w:spacing w:after="0" w:line="240" w:lineRule="auto"/>
              <w:rPr>
                <w:rFonts w:ascii="Arial" w:eastAsia="Times New Roman" w:hAnsi="Arial" w:cs="Arial"/>
                <w:sz w:val="24"/>
                <w:szCs w:val="24"/>
              </w:rPr>
            </w:pPr>
          </w:p>
        </w:tc>
      </w:tr>
      <w:tr w:rsidR="0059039F" w:rsidRPr="00142DF6" w14:paraId="381AB4BF" w14:textId="77777777" w:rsidTr="009F18CB">
        <w:trPr>
          <w:trHeight w:val="350"/>
        </w:trPr>
        <w:tc>
          <w:tcPr>
            <w:tcW w:w="12420" w:type="dxa"/>
          </w:tcPr>
          <w:p w14:paraId="604E015E" w14:textId="56E1491D" w:rsidR="005460D2" w:rsidRPr="005460D2" w:rsidRDefault="0059039F" w:rsidP="00641F06">
            <w:pPr>
              <w:pStyle w:val="NoSpacing"/>
              <w:numPr>
                <w:ilvl w:val="0"/>
                <w:numId w:val="3"/>
              </w:numPr>
              <w:ind w:right="-18"/>
            </w:pPr>
            <w:r>
              <w:rPr>
                <w:rFonts w:ascii="Arial" w:hAnsi="Arial" w:cs="Arial"/>
              </w:rPr>
              <w:t>Conflict of Interest – Conflict of Interest policy of DED Applicant/Recipient organization.</w:t>
            </w:r>
            <w:r w:rsidR="005460D2">
              <w:tab/>
            </w:r>
          </w:p>
        </w:tc>
        <w:tc>
          <w:tcPr>
            <w:tcW w:w="990" w:type="dxa"/>
          </w:tcPr>
          <w:p w14:paraId="2B974D10" w14:textId="77777777" w:rsidR="0059039F" w:rsidRPr="00142DF6" w:rsidRDefault="0059039F" w:rsidP="0059039F">
            <w:pPr>
              <w:spacing w:after="0" w:line="240" w:lineRule="auto"/>
              <w:rPr>
                <w:rFonts w:ascii="Arial" w:eastAsia="Times New Roman" w:hAnsi="Arial" w:cs="Arial"/>
                <w:sz w:val="24"/>
                <w:szCs w:val="24"/>
              </w:rPr>
            </w:pPr>
          </w:p>
        </w:tc>
        <w:tc>
          <w:tcPr>
            <w:tcW w:w="540" w:type="dxa"/>
            <w:shd w:val="clear" w:color="auto" w:fill="auto"/>
          </w:tcPr>
          <w:p w14:paraId="66743773" w14:textId="77777777" w:rsidR="0059039F" w:rsidRPr="00142DF6" w:rsidRDefault="0059039F" w:rsidP="0059039F">
            <w:pPr>
              <w:spacing w:after="0" w:line="240" w:lineRule="auto"/>
              <w:rPr>
                <w:rFonts w:ascii="Arial" w:eastAsia="Times New Roman" w:hAnsi="Arial" w:cs="Arial"/>
                <w:sz w:val="24"/>
                <w:szCs w:val="24"/>
              </w:rPr>
            </w:pPr>
          </w:p>
        </w:tc>
        <w:tc>
          <w:tcPr>
            <w:tcW w:w="796" w:type="dxa"/>
          </w:tcPr>
          <w:p w14:paraId="13803269" w14:textId="77777777" w:rsidR="0059039F" w:rsidRPr="00142DF6" w:rsidRDefault="0059039F" w:rsidP="0059039F">
            <w:pPr>
              <w:spacing w:after="0" w:line="240" w:lineRule="auto"/>
              <w:rPr>
                <w:rFonts w:ascii="Arial" w:eastAsia="Times New Roman" w:hAnsi="Arial" w:cs="Arial"/>
                <w:sz w:val="24"/>
                <w:szCs w:val="24"/>
              </w:rPr>
            </w:pPr>
          </w:p>
        </w:tc>
      </w:tr>
      <w:tr w:rsidR="0059039F" w:rsidRPr="00142DF6" w14:paraId="451F0C8C" w14:textId="77777777" w:rsidTr="00EB4B17">
        <w:trPr>
          <w:trHeight w:val="440"/>
        </w:trPr>
        <w:tc>
          <w:tcPr>
            <w:tcW w:w="14746" w:type="dxa"/>
            <w:gridSpan w:val="4"/>
          </w:tcPr>
          <w:p w14:paraId="024FA950" w14:textId="680934FD" w:rsidR="0059039F" w:rsidRPr="0059039F" w:rsidRDefault="0059039F" w:rsidP="0059039F">
            <w:pPr>
              <w:spacing w:after="0" w:line="240" w:lineRule="auto"/>
              <w:rPr>
                <w:rFonts w:ascii="Arial" w:eastAsia="Times New Roman" w:hAnsi="Arial" w:cs="Arial"/>
                <w:i/>
                <w:iCs/>
                <w:sz w:val="24"/>
                <w:szCs w:val="24"/>
              </w:rPr>
            </w:pPr>
            <w:r w:rsidRPr="0059039F">
              <w:rPr>
                <w:rFonts w:ascii="Arial" w:hAnsi="Arial" w:cs="Arial"/>
                <w:b/>
                <w:bCs/>
                <w:i/>
                <w:iCs/>
              </w:rPr>
              <w:lastRenderedPageBreak/>
              <w:t>The below is provided as a guide for filling out the Rental Pro</w:t>
            </w:r>
            <w:r w:rsidR="002939DD">
              <w:rPr>
                <w:rFonts w:ascii="Arial" w:hAnsi="Arial" w:cs="Arial"/>
                <w:b/>
                <w:bCs/>
                <w:i/>
                <w:iCs/>
              </w:rPr>
              <w:t>-</w:t>
            </w:r>
            <w:r w:rsidRPr="0059039F">
              <w:rPr>
                <w:rFonts w:ascii="Arial" w:hAnsi="Arial" w:cs="Arial"/>
                <w:b/>
                <w:bCs/>
                <w:i/>
                <w:iCs/>
              </w:rPr>
              <w:t>Form</w:t>
            </w:r>
            <w:r w:rsidR="00327A55">
              <w:rPr>
                <w:rFonts w:ascii="Arial" w:hAnsi="Arial" w:cs="Arial"/>
                <w:b/>
                <w:bCs/>
                <w:i/>
                <w:iCs/>
              </w:rPr>
              <w:t>a.  This sheet does not have to accompany the checklist above.</w:t>
            </w:r>
          </w:p>
        </w:tc>
      </w:tr>
      <w:tr w:rsidR="0059039F" w:rsidRPr="00142DF6" w14:paraId="0B842529" w14:textId="77777777" w:rsidTr="00EB4B17">
        <w:trPr>
          <w:trHeight w:val="335"/>
        </w:trPr>
        <w:tc>
          <w:tcPr>
            <w:tcW w:w="14746" w:type="dxa"/>
            <w:gridSpan w:val="4"/>
          </w:tcPr>
          <w:p w14:paraId="2183F017" w14:textId="0398B2D8" w:rsidR="0059039F" w:rsidRPr="008200DD" w:rsidRDefault="0059039F" w:rsidP="0059039F">
            <w:pPr>
              <w:pStyle w:val="NoSpacing"/>
              <w:ind w:right="902"/>
              <w:jc w:val="center"/>
              <w:rPr>
                <w:rFonts w:ascii="Arial" w:hAnsi="Arial" w:cs="Arial"/>
                <w:sz w:val="28"/>
                <w:szCs w:val="28"/>
              </w:rPr>
            </w:pPr>
            <w:r w:rsidRPr="008200DD">
              <w:rPr>
                <w:rFonts w:ascii="Arial" w:hAnsi="Arial" w:cs="Arial"/>
                <w:b/>
                <w:sz w:val="28"/>
                <w:szCs w:val="28"/>
                <w:u w:val="single"/>
              </w:rPr>
              <w:t xml:space="preserve">Pro </w:t>
            </w:r>
            <w:r w:rsidR="00412637">
              <w:rPr>
                <w:rFonts w:ascii="Arial" w:hAnsi="Arial" w:cs="Arial"/>
                <w:b/>
                <w:sz w:val="28"/>
                <w:szCs w:val="28"/>
                <w:u w:val="single"/>
              </w:rPr>
              <w:t>F</w:t>
            </w:r>
            <w:r w:rsidRPr="008200DD">
              <w:rPr>
                <w:rFonts w:ascii="Arial" w:hAnsi="Arial" w:cs="Arial"/>
                <w:b/>
                <w:sz w:val="28"/>
                <w:szCs w:val="28"/>
                <w:u w:val="single"/>
              </w:rPr>
              <w:t>orma Spreadsheets</w:t>
            </w:r>
          </w:p>
          <w:p w14:paraId="45E8B568" w14:textId="2D7CD7B3" w:rsidR="0059039F" w:rsidRPr="00B37CD7" w:rsidRDefault="0059039F" w:rsidP="0059039F">
            <w:pPr>
              <w:pStyle w:val="NoSpacing"/>
              <w:ind w:right="-18"/>
              <w:rPr>
                <w:rFonts w:ascii="Arial" w:hAnsi="Arial" w:cs="Arial"/>
                <w:b/>
                <w:bCs/>
                <w:u w:val="single"/>
              </w:rPr>
            </w:pPr>
            <w:r w:rsidRPr="00B37CD7">
              <w:rPr>
                <w:rFonts w:ascii="Arial" w:hAnsi="Arial" w:cs="Arial"/>
              </w:rPr>
              <w:t>The Pro Forma Spreadsheet must show the project will be financially viable during the affordability period, based upon reasonable assumptions. DED reserves the right to</w:t>
            </w:r>
            <w:r w:rsidR="009F766C">
              <w:rPr>
                <w:rFonts w:ascii="Arial" w:hAnsi="Arial" w:cs="Arial"/>
              </w:rPr>
              <w:t xml:space="preserve"> work with applicant to</w:t>
            </w:r>
            <w:r w:rsidRPr="00B37CD7">
              <w:rPr>
                <w:rFonts w:ascii="Arial" w:hAnsi="Arial" w:cs="Arial"/>
              </w:rPr>
              <w:t xml:space="preserve"> adjust the Pro Forma and Project Design Spreadsheets to reflect economic and/or market conditions as deemed appropriate. </w:t>
            </w:r>
            <w:r w:rsidRPr="008200DD">
              <w:rPr>
                <w:rFonts w:ascii="Arial" w:hAnsi="Arial" w:cs="Arial"/>
                <w:b/>
                <w:bCs/>
                <w:color w:val="FF0000"/>
              </w:rPr>
              <w:t>Pro</w:t>
            </w:r>
            <w:r w:rsidR="00233EBA">
              <w:rPr>
                <w:rFonts w:ascii="Arial" w:hAnsi="Arial" w:cs="Arial"/>
                <w:b/>
                <w:bCs/>
                <w:color w:val="FF0000"/>
              </w:rPr>
              <w:t xml:space="preserve"> </w:t>
            </w:r>
            <w:r w:rsidRPr="008200DD">
              <w:rPr>
                <w:rFonts w:ascii="Arial" w:hAnsi="Arial" w:cs="Arial"/>
                <w:b/>
                <w:bCs/>
                <w:color w:val="FF0000"/>
              </w:rPr>
              <w:t>Forma must be uploaded as an excel document, not a PDF version.</w:t>
            </w:r>
          </w:p>
        </w:tc>
      </w:tr>
      <w:tr w:rsidR="0059039F" w:rsidRPr="00142DF6" w14:paraId="124098FE" w14:textId="77777777" w:rsidTr="00741CA1">
        <w:trPr>
          <w:trHeight w:val="431"/>
        </w:trPr>
        <w:tc>
          <w:tcPr>
            <w:tcW w:w="14746" w:type="dxa"/>
            <w:gridSpan w:val="4"/>
          </w:tcPr>
          <w:p w14:paraId="006733F3" w14:textId="125FD533" w:rsidR="0059039F" w:rsidRPr="00B37CD7" w:rsidRDefault="0059039F" w:rsidP="0059039F">
            <w:pPr>
              <w:pStyle w:val="NoSpacing"/>
              <w:ind w:right="902"/>
              <w:rPr>
                <w:rFonts w:ascii="Arial" w:eastAsia="Times New Roman" w:hAnsi="Arial" w:cs="Arial"/>
              </w:rPr>
            </w:pPr>
            <w:r w:rsidRPr="008613C6">
              <w:rPr>
                <w:rFonts w:ascii="Arial" w:hAnsi="Arial" w:cs="Arial"/>
                <w:b/>
                <w:sz w:val="24"/>
                <w:szCs w:val="24"/>
              </w:rPr>
              <w:t xml:space="preserve">Unit Information                                                                                                                                                                         </w:t>
            </w:r>
          </w:p>
        </w:tc>
      </w:tr>
      <w:tr w:rsidR="009F766C" w:rsidRPr="00142DF6" w14:paraId="3AC71A8D" w14:textId="119892F9" w:rsidTr="009F18CB">
        <w:trPr>
          <w:trHeight w:val="539"/>
        </w:trPr>
        <w:tc>
          <w:tcPr>
            <w:tcW w:w="14746" w:type="dxa"/>
            <w:gridSpan w:val="4"/>
            <w:tcBorders>
              <w:right w:val="nil"/>
            </w:tcBorders>
          </w:tcPr>
          <w:p w14:paraId="0474C72B" w14:textId="77777777" w:rsidR="00741CA1" w:rsidRPr="00741CA1" w:rsidRDefault="009F766C" w:rsidP="009F18CB">
            <w:pPr>
              <w:pStyle w:val="ListParagraph"/>
              <w:numPr>
                <w:ilvl w:val="0"/>
                <w:numId w:val="10"/>
              </w:numPr>
              <w:spacing w:after="0"/>
              <w:ind w:left="708"/>
            </w:pPr>
            <w:r w:rsidRPr="00327A55">
              <w:rPr>
                <w:rFonts w:ascii="Arial" w:hAnsi="Arial" w:cs="Arial"/>
              </w:rPr>
              <w:t xml:space="preserve">Identify the number of NAHTF </w:t>
            </w:r>
            <w:r w:rsidR="00741CA1">
              <w:rPr>
                <w:rFonts w:ascii="Arial" w:hAnsi="Arial" w:cs="Arial"/>
              </w:rPr>
              <w:t xml:space="preserve">affordable </w:t>
            </w:r>
            <w:r w:rsidRPr="00327A55">
              <w:rPr>
                <w:rFonts w:ascii="Arial" w:hAnsi="Arial" w:cs="Arial"/>
              </w:rPr>
              <w:t xml:space="preserve">and </w:t>
            </w:r>
            <w:r w:rsidR="00741CA1">
              <w:rPr>
                <w:rFonts w:ascii="Arial" w:hAnsi="Arial" w:cs="Arial"/>
              </w:rPr>
              <w:t>market rate</w:t>
            </w:r>
            <w:r w:rsidRPr="00327A55">
              <w:rPr>
                <w:rFonts w:ascii="Arial" w:hAnsi="Arial" w:cs="Arial"/>
              </w:rPr>
              <w:t xml:space="preserve"> units within the project.  Include: bedrooms, units, tenant paid utilities, etc. as identified </w:t>
            </w:r>
            <w:r w:rsidR="00F3228C">
              <w:rPr>
                <w:rFonts w:ascii="Arial" w:hAnsi="Arial" w:cs="Arial"/>
              </w:rPr>
              <w:t>on</w:t>
            </w:r>
            <w:r w:rsidRPr="00327A55">
              <w:rPr>
                <w:rFonts w:ascii="Arial" w:hAnsi="Arial" w:cs="Arial"/>
              </w:rPr>
              <w:t xml:space="preserve"> the Unit Information Spreadsheet.</w:t>
            </w:r>
            <w:r w:rsidR="00F3228C">
              <w:rPr>
                <w:rFonts w:ascii="Arial" w:hAnsi="Arial" w:cs="Arial"/>
              </w:rPr>
              <w:t xml:space="preserve">  </w:t>
            </w:r>
          </w:p>
          <w:p w14:paraId="254B058B" w14:textId="3DF6EC24" w:rsidR="009F766C" w:rsidRPr="00142DF6" w:rsidRDefault="00F3228C" w:rsidP="009F18CB">
            <w:pPr>
              <w:pStyle w:val="ListParagraph"/>
              <w:numPr>
                <w:ilvl w:val="0"/>
                <w:numId w:val="10"/>
              </w:numPr>
              <w:spacing w:after="0"/>
              <w:ind w:left="708"/>
            </w:pPr>
            <w:r>
              <w:rPr>
                <w:rFonts w:ascii="Arial" w:hAnsi="Arial" w:cs="Arial"/>
              </w:rPr>
              <w:t xml:space="preserve">Check </w:t>
            </w:r>
            <w:r w:rsidR="00741CA1">
              <w:rPr>
                <w:rFonts w:ascii="Arial" w:hAnsi="Arial" w:cs="Arial"/>
              </w:rPr>
              <w:t xml:space="preserve">current </w:t>
            </w:r>
            <w:r w:rsidRPr="005450CB">
              <w:rPr>
                <w:rFonts w:ascii="Arial" w:hAnsi="Arial" w:cs="Arial"/>
                <w:color w:val="000000"/>
                <w:shd w:val="clear" w:color="auto" w:fill="FFFFFF"/>
              </w:rPr>
              <w:t xml:space="preserve">HUD Home Rent Limit table </w:t>
            </w:r>
            <w:r>
              <w:rPr>
                <w:rFonts w:ascii="Arial" w:hAnsi="Arial" w:cs="Arial"/>
                <w:color w:val="000000"/>
                <w:shd w:val="clear" w:color="auto" w:fill="FFFFFF"/>
              </w:rPr>
              <w:t xml:space="preserve">on </w:t>
            </w:r>
            <w:r>
              <w:rPr>
                <w:rFonts w:ascii="Arial" w:hAnsi="Arial" w:cs="Arial"/>
              </w:rPr>
              <w:t>NAHTF webpage to be sure Rents are within allowable limit</w:t>
            </w:r>
            <w:r w:rsidR="00741CA1">
              <w:rPr>
                <w:rFonts w:ascii="Arial" w:hAnsi="Arial" w:cs="Arial"/>
              </w:rPr>
              <w:t xml:space="preserve"> of no more than the 65% line for number of bedrooms.</w:t>
            </w:r>
          </w:p>
        </w:tc>
      </w:tr>
      <w:tr w:rsidR="009F766C" w:rsidRPr="00142DF6" w14:paraId="2BE2E118" w14:textId="77777777" w:rsidTr="00741CA1">
        <w:trPr>
          <w:trHeight w:val="323"/>
        </w:trPr>
        <w:tc>
          <w:tcPr>
            <w:tcW w:w="14746" w:type="dxa"/>
            <w:gridSpan w:val="4"/>
          </w:tcPr>
          <w:p w14:paraId="2ED7E7C3" w14:textId="641609C1" w:rsidR="009F766C" w:rsidRPr="00B37CD7" w:rsidRDefault="009F766C" w:rsidP="0059039F">
            <w:pPr>
              <w:spacing w:after="0" w:line="240" w:lineRule="auto"/>
              <w:rPr>
                <w:rFonts w:ascii="Arial" w:eastAsia="Times New Roman" w:hAnsi="Arial" w:cs="Arial"/>
              </w:rPr>
            </w:pPr>
            <w:r w:rsidRPr="008613C6">
              <w:rPr>
                <w:rFonts w:ascii="Arial" w:hAnsi="Arial" w:cs="Arial"/>
                <w:b/>
                <w:sz w:val="24"/>
                <w:szCs w:val="24"/>
              </w:rPr>
              <w:t>Development Cost Schedule</w:t>
            </w:r>
          </w:p>
        </w:tc>
      </w:tr>
      <w:tr w:rsidR="009F766C" w:rsidRPr="00142DF6" w14:paraId="353A6334" w14:textId="7CC819D1" w:rsidTr="00EB4B17">
        <w:trPr>
          <w:trHeight w:val="254"/>
        </w:trPr>
        <w:tc>
          <w:tcPr>
            <w:tcW w:w="14746" w:type="dxa"/>
            <w:gridSpan w:val="4"/>
            <w:tcBorders>
              <w:right w:val="nil"/>
            </w:tcBorders>
          </w:tcPr>
          <w:p w14:paraId="2393633C" w14:textId="1FA3F73C" w:rsidR="009F766C" w:rsidRPr="00142DF6" w:rsidRDefault="009F766C" w:rsidP="009F18CB">
            <w:pPr>
              <w:pStyle w:val="ListParagraph"/>
              <w:numPr>
                <w:ilvl w:val="0"/>
                <w:numId w:val="10"/>
              </w:numPr>
              <w:spacing w:after="0"/>
              <w:ind w:left="708"/>
            </w:pPr>
            <w:r w:rsidRPr="00327A55">
              <w:rPr>
                <w:rFonts w:ascii="Arial" w:hAnsi="Arial" w:cs="Arial"/>
              </w:rPr>
              <w:t>Identify all development costs within the project using the Development Cost Schedule Spreadsheet.</w:t>
            </w:r>
            <w:r w:rsidR="00F3228C">
              <w:rPr>
                <w:rFonts w:ascii="Arial" w:hAnsi="Arial" w:cs="Arial"/>
              </w:rPr>
              <w:t xml:space="preserve">  Do NOT include NAHTF request for administrative expenses</w:t>
            </w:r>
            <w:r w:rsidR="00000B6C">
              <w:rPr>
                <w:rFonts w:ascii="Arial" w:hAnsi="Arial" w:cs="Arial"/>
              </w:rPr>
              <w:t xml:space="preserve">, i.e., </w:t>
            </w:r>
            <w:r w:rsidR="00F3228C">
              <w:rPr>
                <w:rFonts w:ascii="Arial" w:hAnsi="Arial" w:cs="Arial"/>
              </w:rPr>
              <w:t>General Administration, Housing Management, &amp; Lead-Based Paint Testing</w:t>
            </w:r>
            <w:r w:rsidR="00000B6C">
              <w:rPr>
                <w:rFonts w:ascii="Arial" w:hAnsi="Arial" w:cs="Arial"/>
              </w:rPr>
              <w:t>.</w:t>
            </w:r>
          </w:p>
        </w:tc>
      </w:tr>
      <w:tr w:rsidR="009F766C" w:rsidRPr="00142DF6" w14:paraId="15AB10D5" w14:textId="77777777" w:rsidTr="00741CA1">
        <w:trPr>
          <w:trHeight w:val="332"/>
        </w:trPr>
        <w:tc>
          <w:tcPr>
            <w:tcW w:w="14746" w:type="dxa"/>
            <w:gridSpan w:val="4"/>
          </w:tcPr>
          <w:p w14:paraId="296EAB36" w14:textId="6B6B671E" w:rsidR="009F766C" w:rsidRPr="00B37CD7" w:rsidRDefault="009F766C" w:rsidP="0059039F">
            <w:pPr>
              <w:spacing w:after="0" w:line="240" w:lineRule="auto"/>
              <w:rPr>
                <w:rFonts w:ascii="Arial" w:eastAsia="Times New Roman" w:hAnsi="Arial" w:cs="Arial"/>
              </w:rPr>
            </w:pPr>
            <w:r w:rsidRPr="008613C6">
              <w:rPr>
                <w:rFonts w:ascii="Arial" w:hAnsi="Arial" w:cs="Arial"/>
                <w:b/>
                <w:sz w:val="24"/>
                <w:szCs w:val="24"/>
              </w:rPr>
              <w:t xml:space="preserve">Sources and </w:t>
            </w:r>
            <w:proofErr w:type="gramStart"/>
            <w:r w:rsidRPr="008613C6">
              <w:rPr>
                <w:rFonts w:ascii="Arial" w:hAnsi="Arial" w:cs="Arial"/>
                <w:b/>
                <w:sz w:val="24"/>
                <w:szCs w:val="24"/>
              </w:rPr>
              <w:t>Uses</w:t>
            </w:r>
            <w:proofErr w:type="gramEnd"/>
          </w:p>
        </w:tc>
      </w:tr>
      <w:tr w:rsidR="009F766C" w:rsidRPr="00142DF6" w14:paraId="5BF5EB30" w14:textId="57D7EACA" w:rsidTr="00EB4B17">
        <w:trPr>
          <w:trHeight w:val="800"/>
        </w:trPr>
        <w:tc>
          <w:tcPr>
            <w:tcW w:w="14746" w:type="dxa"/>
            <w:gridSpan w:val="4"/>
          </w:tcPr>
          <w:p w14:paraId="11572559" w14:textId="5B00913C" w:rsidR="009F766C" w:rsidRPr="00142DF6" w:rsidRDefault="009F766C" w:rsidP="009F18CB">
            <w:pPr>
              <w:pStyle w:val="ListParagraph"/>
              <w:numPr>
                <w:ilvl w:val="0"/>
                <w:numId w:val="10"/>
              </w:numPr>
              <w:spacing w:after="0"/>
              <w:ind w:left="708"/>
            </w:pPr>
            <w:r w:rsidRPr="00327A55">
              <w:rPr>
                <w:rFonts w:ascii="Arial" w:hAnsi="Arial" w:cs="Arial"/>
              </w:rPr>
              <w:t>Identify all sources, uses, and any equity gap within the project using the Sources &amp; Uses Information Spreadsheet.</w:t>
            </w:r>
            <w:r w:rsidR="00F3228C">
              <w:rPr>
                <w:rFonts w:ascii="Arial" w:hAnsi="Arial" w:cs="Arial"/>
              </w:rPr>
              <w:t xml:space="preserve"> Cell C15 (NAHTF Funds) should equal the sum of Primary Activity and Support Activity NAHTF request</w:t>
            </w:r>
            <w:r w:rsidR="00B70483">
              <w:rPr>
                <w:rFonts w:ascii="Arial" w:hAnsi="Arial" w:cs="Arial"/>
              </w:rPr>
              <w:t>ed</w:t>
            </w:r>
            <w:r w:rsidR="00F3228C">
              <w:rPr>
                <w:rFonts w:ascii="Arial" w:hAnsi="Arial" w:cs="Arial"/>
              </w:rPr>
              <w:t xml:space="preserve"> amounts. </w:t>
            </w:r>
            <w:r w:rsidR="00E65FB9">
              <w:rPr>
                <w:rFonts w:ascii="Arial" w:hAnsi="Arial" w:cs="Arial"/>
              </w:rPr>
              <w:t xml:space="preserve"> </w:t>
            </w:r>
            <w:r w:rsidR="00E65FB9" w:rsidRPr="0034084A">
              <w:rPr>
                <w:rFonts w:ascii="Arial" w:hAnsi="Arial" w:cs="Arial"/>
              </w:rPr>
              <w:t xml:space="preserve">If for-profit developer will own the units, at least 10% of the amount </w:t>
            </w:r>
            <w:r w:rsidR="00E67F4B" w:rsidRPr="0034084A">
              <w:rPr>
                <w:rFonts w:ascii="Arial" w:hAnsi="Arial" w:cs="Arial"/>
              </w:rPr>
              <w:t xml:space="preserve">of </w:t>
            </w:r>
            <w:r w:rsidR="00E65FB9" w:rsidRPr="0034084A">
              <w:rPr>
                <w:rFonts w:ascii="Arial" w:hAnsi="Arial" w:cs="Arial"/>
              </w:rPr>
              <w:t>non-administrative NAHTF assistance must be provided as owner equity.</w:t>
            </w:r>
            <w:r w:rsidR="00F3228C" w:rsidRPr="0034084A">
              <w:rPr>
                <w:rFonts w:ascii="Arial" w:hAnsi="Arial" w:cs="Arial"/>
              </w:rPr>
              <w:t xml:space="preserve"> </w:t>
            </w:r>
            <w:r w:rsidR="00F3228C">
              <w:rPr>
                <w:rFonts w:ascii="Arial" w:hAnsi="Arial" w:cs="Arial"/>
              </w:rPr>
              <w:t>Do NOT include NAHTF requested amounts for administrative expenses. (General Administration, Housing Management, &amp; Lead-Based Paint Testing)</w:t>
            </w:r>
          </w:p>
        </w:tc>
      </w:tr>
      <w:tr w:rsidR="009F766C" w:rsidRPr="00142DF6" w14:paraId="59DB029E" w14:textId="77777777" w:rsidTr="00741CA1">
        <w:trPr>
          <w:trHeight w:val="323"/>
        </w:trPr>
        <w:tc>
          <w:tcPr>
            <w:tcW w:w="14746" w:type="dxa"/>
            <w:gridSpan w:val="4"/>
          </w:tcPr>
          <w:p w14:paraId="77177471" w14:textId="21F6A607" w:rsidR="009F766C" w:rsidRPr="00B37CD7" w:rsidRDefault="009F766C" w:rsidP="0059039F">
            <w:pPr>
              <w:spacing w:after="0" w:line="240" w:lineRule="auto"/>
              <w:rPr>
                <w:rFonts w:ascii="Arial" w:eastAsia="Times New Roman" w:hAnsi="Arial" w:cs="Arial"/>
              </w:rPr>
            </w:pPr>
            <w:r w:rsidRPr="008613C6">
              <w:rPr>
                <w:rFonts w:ascii="Arial" w:hAnsi="Arial" w:cs="Arial"/>
                <w:b/>
                <w:sz w:val="24"/>
                <w:szCs w:val="24"/>
              </w:rPr>
              <w:t>Annual Operating Expense Information &amp; Pro Forma</w:t>
            </w:r>
          </w:p>
        </w:tc>
      </w:tr>
      <w:tr w:rsidR="009F766C" w:rsidRPr="00142DF6" w14:paraId="217FB40E" w14:textId="0321F2A3" w:rsidTr="009F18CB">
        <w:trPr>
          <w:trHeight w:val="629"/>
        </w:trPr>
        <w:tc>
          <w:tcPr>
            <w:tcW w:w="14746" w:type="dxa"/>
            <w:gridSpan w:val="4"/>
            <w:tcBorders>
              <w:right w:val="nil"/>
            </w:tcBorders>
          </w:tcPr>
          <w:p w14:paraId="4865F64F" w14:textId="347A4469" w:rsidR="009F766C" w:rsidRPr="00142DF6" w:rsidRDefault="009F766C" w:rsidP="008613C6">
            <w:pPr>
              <w:pStyle w:val="NoSpacing"/>
              <w:widowControl w:val="0"/>
              <w:numPr>
                <w:ilvl w:val="0"/>
                <w:numId w:val="10"/>
              </w:numPr>
              <w:tabs>
                <w:tab w:val="right" w:pos="9360"/>
              </w:tabs>
              <w:suppressAutoHyphens/>
              <w:autoSpaceDE w:val="0"/>
              <w:autoSpaceDN w:val="0"/>
              <w:ind w:left="708" w:right="902"/>
            </w:pPr>
            <w:r w:rsidRPr="00833FC0">
              <w:rPr>
                <w:rFonts w:ascii="Arial" w:hAnsi="Arial" w:cs="Arial"/>
              </w:rPr>
              <w:t>All</w:t>
            </w:r>
            <w:r w:rsidR="00FD201C" w:rsidRPr="00833FC0">
              <w:rPr>
                <w:rFonts w:ascii="Arial" w:hAnsi="Arial" w:cs="Arial"/>
              </w:rPr>
              <w:t xml:space="preserve"> residential</w:t>
            </w:r>
            <w:r w:rsidRPr="00833FC0">
              <w:rPr>
                <w:rFonts w:ascii="Arial" w:hAnsi="Arial" w:cs="Arial"/>
              </w:rPr>
              <w:t xml:space="preserve"> income must be clearly identified within the Annual Operating Expense Information Spreadsheet and </w:t>
            </w:r>
            <w:r w:rsidR="00FD201C" w:rsidRPr="00833FC0">
              <w:rPr>
                <w:rFonts w:ascii="Arial" w:hAnsi="Arial" w:cs="Arial"/>
              </w:rPr>
              <w:t xml:space="preserve">both residential and commercial income must be identified </w:t>
            </w:r>
            <w:r w:rsidRPr="00833FC0">
              <w:rPr>
                <w:rFonts w:ascii="Arial" w:hAnsi="Arial" w:cs="Arial"/>
              </w:rPr>
              <w:t xml:space="preserve">within the Pro Forma </w:t>
            </w:r>
            <w:r w:rsidRPr="0093322E">
              <w:rPr>
                <w:rFonts w:ascii="Arial" w:hAnsi="Arial" w:cs="Arial"/>
              </w:rPr>
              <w:t xml:space="preserve">Spreadsheet. </w:t>
            </w:r>
          </w:p>
        </w:tc>
      </w:tr>
      <w:tr w:rsidR="009F766C" w:rsidRPr="00142DF6" w14:paraId="5ED1E7AB" w14:textId="77777777" w:rsidTr="00EB4B17">
        <w:trPr>
          <w:trHeight w:val="1017"/>
        </w:trPr>
        <w:tc>
          <w:tcPr>
            <w:tcW w:w="14746" w:type="dxa"/>
            <w:gridSpan w:val="4"/>
          </w:tcPr>
          <w:p w14:paraId="042A1E1D" w14:textId="6FC85E21" w:rsidR="009F766C" w:rsidRPr="009F766C" w:rsidRDefault="009F766C" w:rsidP="008613C6">
            <w:pPr>
              <w:pStyle w:val="NoSpacing"/>
              <w:numPr>
                <w:ilvl w:val="0"/>
                <w:numId w:val="10"/>
              </w:numPr>
              <w:ind w:left="708" w:right="72"/>
              <w:rPr>
                <w:rFonts w:ascii="Arial" w:hAnsi="Arial" w:cs="Arial"/>
              </w:rPr>
            </w:pPr>
            <w:r w:rsidRPr="009F766C">
              <w:rPr>
                <w:rFonts w:ascii="Arial" w:hAnsi="Arial" w:cs="Arial"/>
              </w:rPr>
              <w:t>All expenses (including reduced cost or no cost services, all partnership distributions, deferred developer fees, incentive management fees and repayment of loans as expenses</w:t>
            </w:r>
            <w:r w:rsidR="00F3228C">
              <w:rPr>
                <w:rFonts w:ascii="Arial" w:hAnsi="Arial" w:cs="Arial"/>
              </w:rPr>
              <w:t>,</w:t>
            </w:r>
            <w:r w:rsidRPr="009F766C">
              <w:rPr>
                <w:rFonts w:ascii="Arial" w:hAnsi="Arial" w:cs="Arial"/>
              </w:rPr>
              <w:t xml:space="preserve"> etc.) must be clearly identified within the Annual Operating Expense Information Spreadsheet and within the Pro Forma Spreadsheet.  All services or materials provided at a reduced </w:t>
            </w:r>
            <w:proofErr w:type="gramStart"/>
            <w:r w:rsidRPr="009F766C">
              <w:rPr>
                <w:rFonts w:ascii="Arial" w:hAnsi="Arial" w:cs="Arial"/>
              </w:rPr>
              <w:t>cost</w:t>
            </w:r>
            <w:proofErr w:type="gramEnd"/>
            <w:r w:rsidRPr="009F766C">
              <w:rPr>
                <w:rFonts w:ascii="Arial" w:hAnsi="Arial" w:cs="Arial"/>
              </w:rPr>
              <w:t xml:space="preserve"> or no cost basis must be reflected as both an income and an expense.</w:t>
            </w:r>
          </w:p>
        </w:tc>
      </w:tr>
      <w:tr w:rsidR="009F766C" w:rsidRPr="00142DF6" w14:paraId="25E25928" w14:textId="77777777" w:rsidTr="00EB4B17">
        <w:trPr>
          <w:trHeight w:val="557"/>
        </w:trPr>
        <w:tc>
          <w:tcPr>
            <w:tcW w:w="14746" w:type="dxa"/>
            <w:gridSpan w:val="4"/>
            <w:tcBorders>
              <w:bottom w:val="single" w:sz="4" w:space="0" w:color="auto"/>
            </w:tcBorders>
          </w:tcPr>
          <w:p w14:paraId="0D62E470" w14:textId="6A7EBD8E" w:rsidR="009F766C" w:rsidRPr="009F766C" w:rsidRDefault="009F766C" w:rsidP="008613C6">
            <w:pPr>
              <w:pStyle w:val="ListParagraph"/>
              <w:numPr>
                <w:ilvl w:val="0"/>
                <w:numId w:val="10"/>
              </w:numPr>
              <w:spacing w:after="0" w:line="240" w:lineRule="auto"/>
              <w:ind w:left="708"/>
              <w:rPr>
                <w:rFonts w:ascii="Arial" w:eastAsia="Times New Roman" w:hAnsi="Arial" w:cs="Arial"/>
              </w:rPr>
            </w:pPr>
            <w:r w:rsidRPr="009F766C">
              <w:rPr>
                <w:rFonts w:ascii="Arial" w:hAnsi="Arial" w:cs="Arial"/>
              </w:rPr>
              <w:t xml:space="preserve">Identify the rate of increase used to project income and project expenses per year. The rate of income increase must be reasonable and under no circumstances can it be greater than rate of increase of the estimated project expenses. </w:t>
            </w:r>
          </w:p>
        </w:tc>
      </w:tr>
      <w:tr w:rsidR="009F766C" w:rsidRPr="00142DF6" w14:paraId="2783AA80" w14:textId="77777777" w:rsidTr="00EB4B17">
        <w:trPr>
          <w:trHeight w:val="440"/>
        </w:trPr>
        <w:tc>
          <w:tcPr>
            <w:tcW w:w="14746" w:type="dxa"/>
            <w:gridSpan w:val="4"/>
          </w:tcPr>
          <w:p w14:paraId="42007B36" w14:textId="05C23E93" w:rsidR="009F766C" w:rsidRPr="009F766C" w:rsidRDefault="006E38DB" w:rsidP="008613C6">
            <w:pPr>
              <w:pStyle w:val="ListParagraph"/>
              <w:numPr>
                <w:ilvl w:val="0"/>
                <w:numId w:val="10"/>
              </w:numPr>
              <w:spacing w:after="0" w:line="240" w:lineRule="auto"/>
              <w:ind w:left="708"/>
              <w:rPr>
                <w:rFonts w:ascii="Arial" w:eastAsia="Times New Roman" w:hAnsi="Arial" w:cs="Arial"/>
              </w:rPr>
            </w:pPr>
            <w:r w:rsidRPr="00641F06">
              <w:rPr>
                <w:rFonts w:ascii="Arial" w:hAnsi="Arial" w:cs="Arial"/>
                <w:spacing w:val="-2"/>
              </w:rPr>
              <w:t xml:space="preserve">Initial </w:t>
            </w:r>
            <w:r w:rsidR="009F766C" w:rsidRPr="00641F06">
              <w:rPr>
                <w:rFonts w:ascii="Arial" w:hAnsi="Arial" w:cs="Arial"/>
                <w:spacing w:val="-2"/>
              </w:rPr>
              <w:t xml:space="preserve">Stabilized vacancy rate must </w:t>
            </w:r>
            <w:r w:rsidR="003F1901" w:rsidRPr="00641F06">
              <w:rPr>
                <w:rFonts w:ascii="Arial" w:hAnsi="Arial" w:cs="Arial"/>
                <w:spacing w:val="-2"/>
              </w:rPr>
              <w:t>be set to the most recently published American Community Survey for</w:t>
            </w:r>
            <w:r w:rsidRPr="00641F06">
              <w:rPr>
                <w:rFonts w:ascii="Arial" w:hAnsi="Arial" w:cs="Arial"/>
                <w:spacing w:val="-2"/>
              </w:rPr>
              <w:t xml:space="preserve"> Nebraska for</w:t>
            </w:r>
            <w:r w:rsidR="003F1901" w:rsidRPr="00641F06">
              <w:rPr>
                <w:rFonts w:ascii="Arial" w:hAnsi="Arial" w:cs="Arial"/>
                <w:spacing w:val="-2"/>
              </w:rPr>
              <w:t xml:space="preserve"> the initial year</w:t>
            </w:r>
            <w:r w:rsidR="008B67C8" w:rsidRPr="00641F06">
              <w:rPr>
                <w:rFonts w:ascii="Arial" w:hAnsi="Arial" w:cs="Arial"/>
                <w:spacing w:val="-2"/>
              </w:rPr>
              <w:t>. A</w:t>
            </w:r>
            <w:r w:rsidR="003F1901" w:rsidRPr="00641F06">
              <w:rPr>
                <w:rFonts w:ascii="Arial" w:hAnsi="Arial" w:cs="Arial"/>
                <w:spacing w:val="-2"/>
              </w:rPr>
              <w:t xml:space="preserve"> lower stabilized vacancy rate</w:t>
            </w:r>
            <w:r w:rsidR="008B67C8" w:rsidRPr="00641F06">
              <w:rPr>
                <w:rFonts w:ascii="Arial" w:hAnsi="Arial" w:cs="Arial"/>
                <w:spacing w:val="-2"/>
              </w:rPr>
              <w:t xml:space="preserve"> may be input</w:t>
            </w:r>
            <w:r w:rsidR="003F1901" w:rsidRPr="00641F06">
              <w:rPr>
                <w:rFonts w:ascii="Arial" w:hAnsi="Arial" w:cs="Arial"/>
                <w:spacing w:val="-2"/>
              </w:rPr>
              <w:t xml:space="preserve"> based on evidence taken from a </w:t>
            </w:r>
            <w:proofErr w:type="gramStart"/>
            <w:r w:rsidR="003F1901" w:rsidRPr="00641F06">
              <w:rPr>
                <w:rFonts w:ascii="Arial" w:hAnsi="Arial" w:cs="Arial"/>
                <w:spacing w:val="-2"/>
              </w:rPr>
              <w:t>third party</w:t>
            </w:r>
            <w:proofErr w:type="gramEnd"/>
            <w:r w:rsidR="003F1901" w:rsidRPr="00641F06">
              <w:rPr>
                <w:rFonts w:ascii="Arial" w:hAnsi="Arial" w:cs="Arial"/>
                <w:spacing w:val="-2"/>
              </w:rPr>
              <w:t xml:space="preserve"> housing study or other DED approved housing assessment. </w:t>
            </w:r>
            <w:r w:rsidR="009F766C" w:rsidRPr="00641F06">
              <w:rPr>
                <w:rFonts w:ascii="Arial" w:hAnsi="Arial" w:cs="Arial"/>
              </w:rPr>
              <w:t xml:space="preserve"> </w:t>
            </w:r>
          </w:p>
        </w:tc>
      </w:tr>
      <w:tr w:rsidR="009F766C" w:rsidRPr="00142DF6" w14:paraId="47D23EFF" w14:textId="77777777" w:rsidTr="00EB4B17">
        <w:trPr>
          <w:trHeight w:val="335"/>
        </w:trPr>
        <w:tc>
          <w:tcPr>
            <w:tcW w:w="14746" w:type="dxa"/>
            <w:gridSpan w:val="4"/>
            <w:tcBorders>
              <w:right w:val="single" w:sz="4" w:space="0" w:color="auto"/>
            </w:tcBorders>
          </w:tcPr>
          <w:p w14:paraId="11AA2821" w14:textId="2883DB35" w:rsidR="009F766C" w:rsidRPr="009F766C" w:rsidRDefault="009F766C" w:rsidP="008613C6">
            <w:pPr>
              <w:pStyle w:val="ListParagraph"/>
              <w:widowControl w:val="0"/>
              <w:numPr>
                <w:ilvl w:val="0"/>
                <w:numId w:val="10"/>
              </w:numPr>
              <w:tabs>
                <w:tab w:val="right" w:pos="9360"/>
              </w:tabs>
              <w:suppressAutoHyphens/>
              <w:autoSpaceDE w:val="0"/>
              <w:autoSpaceDN w:val="0"/>
              <w:spacing w:after="0" w:line="240" w:lineRule="auto"/>
              <w:ind w:left="708"/>
              <w:rPr>
                <w:rFonts w:ascii="Arial" w:eastAsia="Times New Roman" w:hAnsi="Arial" w:cs="Arial"/>
                <w:spacing w:val="-2"/>
              </w:rPr>
            </w:pPr>
            <w:r w:rsidRPr="009F766C">
              <w:rPr>
                <w:rFonts w:ascii="Arial" w:hAnsi="Arial" w:cs="Arial"/>
                <w:spacing w:val="-2"/>
              </w:rPr>
              <w:t xml:space="preserve">Property management fees </w:t>
            </w:r>
            <w:r>
              <w:rPr>
                <w:rFonts w:ascii="Arial" w:hAnsi="Arial" w:cs="Arial"/>
                <w:spacing w:val="-2"/>
              </w:rPr>
              <w:t>should</w:t>
            </w:r>
            <w:r w:rsidRPr="009F766C">
              <w:rPr>
                <w:rFonts w:ascii="Arial" w:hAnsi="Arial" w:cs="Arial"/>
                <w:spacing w:val="-2"/>
              </w:rPr>
              <w:t xml:space="preserve"> be </w:t>
            </w:r>
            <w:r w:rsidR="00FD201C">
              <w:rPr>
                <w:rFonts w:ascii="Arial" w:hAnsi="Arial" w:cs="Arial"/>
                <w:spacing w:val="-2"/>
              </w:rPr>
              <w:t>reasonable and align with industry standards, but not exceed 10% of Gross potential rents.</w:t>
            </w:r>
          </w:p>
        </w:tc>
      </w:tr>
      <w:tr w:rsidR="009F766C" w:rsidRPr="00142DF6" w14:paraId="7FB45805" w14:textId="77777777" w:rsidTr="00EB4B17">
        <w:trPr>
          <w:trHeight w:val="335"/>
        </w:trPr>
        <w:tc>
          <w:tcPr>
            <w:tcW w:w="14746" w:type="dxa"/>
            <w:gridSpan w:val="4"/>
          </w:tcPr>
          <w:p w14:paraId="749B2A58" w14:textId="7AB47C7E" w:rsidR="009F766C" w:rsidRPr="00874C55" w:rsidRDefault="00E97992" w:rsidP="00E97992">
            <w:pPr>
              <w:pStyle w:val="ListParagraph"/>
              <w:widowControl w:val="0"/>
              <w:tabs>
                <w:tab w:val="right" w:pos="9360"/>
              </w:tabs>
              <w:suppressAutoHyphens/>
              <w:autoSpaceDE w:val="0"/>
              <w:autoSpaceDN w:val="0"/>
              <w:spacing w:after="0" w:line="240" w:lineRule="auto"/>
              <w:ind w:left="700" w:hanging="360"/>
              <w:rPr>
                <w:rFonts w:ascii="Arial" w:eastAsia="Times New Roman" w:hAnsi="Arial" w:cs="Arial"/>
                <w:spacing w:val="-2"/>
                <w:highlight w:val="lightGray"/>
              </w:rPr>
            </w:pPr>
            <w:r>
              <w:rPr>
                <w:rFonts w:ascii="Arial" w:hAnsi="Arial" w:cs="Arial"/>
              </w:rPr>
              <w:t>j</w:t>
            </w:r>
            <w:r w:rsidR="00874C55" w:rsidRPr="00874C55">
              <w:rPr>
                <w:rFonts w:ascii="Arial" w:hAnsi="Arial" w:cs="Arial"/>
              </w:rPr>
              <w:t xml:space="preserve">)    </w:t>
            </w:r>
            <w:r w:rsidR="009F766C" w:rsidRPr="00874C55">
              <w:rPr>
                <w:rFonts w:ascii="Arial" w:hAnsi="Arial" w:cs="Arial"/>
              </w:rPr>
              <w:t xml:space="preserve">The </w:t>
            </w:r>
            <w:r w:rsidR="00F3228C" w:rsidRPr="00874C55">
              <w:rPr>
                <w:rFonts w:ascii="Arial" w:hAnsi="Arial" w:cs="Arial"/>
              </w:rPr>
              <w:t>O</w:t>
            </w:r>
            <w:r w:rsidR="009F766C" w:rsidRPr="00874C55">
              <w:rPr>
                <w:rFonts w:ascii="Arial" w:hAnsi="Arial" w:cs="Arial"/>
              </w:rPr>
              <w:t xml:space="preserve">perating </w:t>
            </w:r>
            <w:r w:rsidR="00F3228C" w:rsidRPr="00874C55">
              <w:rPr>
                <w:rFonts w:ascii="Arial" w:hAnsi="Arial" w:cs="Arial"/>
              </w:rPr>
              <w:t>R</w:t>
            </w:r>
            <w:r w:rsidR="009F766C" w:rsidRPr="00874C55">
              <w:rPr>
                <w:rFonts w:ascii="Arial" w:hAnsi="Arial" w:cs="Arial"/>
              </w:rPr>
              <w:t xml:space="preserve">eserves must be equal to or </w:t>
            </w:r>
            <w:r w:rsidR="009F766C" w:rsidRPr="003F1901">
              <w:rPr>
                <w:rFonts w:ascii="Arial" w:hAnsi="Arial" w:cs="Arial"/>
              </w:rPr>
              <w:t xml:space="preserve">greater than </w:t>
            </w:r>
            <w:r w:rsidR="00FD201C" w:rsidRPr="003F1901">
              <w:rPr>
                <w:rFonts w:ascii="Arial" w:hAnsi="Arial" w:cs="Arial"/>
              </w:rPr>
              <w:t xml:space="preserve">three (3) </w:t>
            </w:r>
            <w:r w:rsidR="009F766C" w:rsidRPr="003F1901">
              <w:rPr>
                <w:rFonts w:ascii="Arial" w:hAnsi="Arial" w:cs="Arial"/>
              </w:rPr>
              <w:t xml:space="preserve">months of </w:t>
            </w:r>
            <w:r w:rsidR="005C5C3C" w:rsidRPr="003F1901">
              <w:rPr>
                <w:rFonts w:ascii="Arial" w:hAnsi="Arial" w:cs="Arial"/>
              </w:rPr>
              <w:t xml:space="preserve">total annual </w:t>
            </w:r>
            <w:r w:rsidR="009F766C" w:rsidRPr="003F1901">
              <w:rPr>
                <w:rFonts w:ascii="Arial" w:hAnsi="Arial" w:cs="Arial"/>
              </w:rPr>
              <w:t>expenses, including</w:t>
            </w:r>
            <w:r w:rsidR="009F766C" w:rsidRPr="00874C55">
              <w:rPr>
                <w:rFonts w:ascii="Arial" w:hAnsi="Arial" w:cs="Arial"/>
              </w:rPr>
              <w:t xml:space="preserve"> debt service</w:t>
            </w:r>
            <w:r w:rsidR="00DD3837">
              <w:rPr>
                <w:rFonts w:ascii="Arial" w:hAnsi="Arial" w:cs="Arial"/>
              </w:rPr>
              <w:t xml:space="preserve"> and entered into        </w:t>
            </w:r>
            <w:r>
              <w:rPr>
                <w:rFonts w:ascii="Arial" w:hAnsi="Arial" w:cs="Arial"/>
              </w:rPr>
              <w:t xml:space="preserve">    </w:t>
            </w:r>
            <w:r w:rsidR="00DD3837">
              <w:rPr>
                <w:rFonts w:ascii="Arial" w:hAnsi="Arial" w:cs="Arial"/>
              </w:rPr>
              <w:t>the Development Cost Schedule</w:t>
            </w:r>
            <w:r w:rsidR="009F766C" w:rsidRPr="00874C55">
              <w:rPr>
                <w:rFonts w:ascii="Arial" w:hAnsi="Arial" w:cs="Arial"/>
              </w:rPr>
              <w:t>.</w:t>
            </w:r>
          </w:p>
        </w:tc>
      </w:tr>
      <w:tr w:rsidR="009F766C" w:rsidRPr="00142DF6" w14:paraId="2DCEA06C" w14:textId="77777777" w:rsidTr="00EB4B17">
        <w:trPr>
          <w:trHeight w:val="323"/>
        </w:trPr>
        <w:tc>
          <w:tcPr>
            <w:tcW w:w="14746" w:type="dxa"/>
            <w:gridSpan w:val="4"/>
          </w:tcPr>
          <w:p w14:paraId="58FE45F5" w14:textId="33029EE6" w:rsidR="009F766C" w:rsidRPr="00874C55" w:rsidRDefault="00E97992" w:rsidP="00874C55">
            <w:pPr>
              <w:widowControl w:val="0"/>
              <w:tabs>
                <w:tab w:val="right" w:pos="9360"/>
              </w:tabs>
              <w:suppressAutoHyphens/>
              <w:autoSpaceDE w:val="0"/>
              <w:autoSpaceDN w:val="0"/>
              <w:spacing w:after="0" w:line="240" w:lineRule="auto"/>
              <w:ind w:left="348"/>
              <w:rPr>
                <w:rFonts w:ascii="Arial" w:eastAsia="Times New Roman" w:hAnsi="Arial" w:cs="Arial"/>
                <w:spacing w:val="-2"/>
              </w:rPr>
            </w:pPr>
            <w:r>
              <w:rPr>
                <w:rFonts w:ascii="Arial" w:hAnsi="Arial" w:cs="Arial"/>
              </w:rPr>
              <w:t>k</w:t>
            </w:r>
            <w:r w:rsidR="00874C55">
              <w:rPr>
                <w:rFonts w:ascii="Arial" w:hAnsi="Arial" w:cs="Arial"/>
              </w:rPr>
              <w:t xml:space="preserve">)   </w:t>
            </w:r>
            <w:r w:rsidR="009F766C" w:rsidRPr="00874C55">
              <w:rPr>
                <w:rFonts w:ascii="Arial" w:hAnsi="Arial" w:cs="Arial"/>
              </w:rPr>
              <w:t xml:space="preserve">The </w:t>
            </w:r>
            <w:r w:rsidR="00F3228C" w:rsidRPr="00874C55">
              <w:rPr>
                <w:rFonts w:ascii="Arial" w:hAnsi="Arial" w:cs="Arial"/>
              </w:rPr>
              <w:t>R</w:t>
            </w:r>
            <w:r w:rsidR="009F766C" w:rsidRPr="00874C55">
              <w:rPr>
                <w:rFonts w:ascii="Arial" w:hAnsi="Arial" w:cs="Arial"/>
              </w:rPr>
              <w:t xml:space="preserve">eplacement </w:t>
            </w:r>
            <w:r w:rsidR="00F3228C" w:rsidRPr="00874C55">
              <w:rPr>
                <w:rFonts w:ascii="Arial" w:hAnsi="Arial" w:cs="Arial"/>
              </w:rPr>
              <w:t>R</w:t>
            </w:r>
            <w:r w:rsidR="009F766C" w:rsidRPr="00874C55">
              <w:rPr>
                <w:rFonts w:ascii="Arial" w:hAnsi="Arial" w:cs="Arial"/>
              </w:rPr>
              <w:t>eserve payment schedule must be equal to or greater than $300 per unit per year.</w:t>
            </w:r>
          </w:p>
        </w:tc>
      </w:tr>
      <w:tr w:rsidR="009F766C" w:rsidRPr="00142DF6" w14:paraId="5A4846AE" w14:textId="77777777" w:rsidTr="00EB4B17">
        <w:trPr>
          <w:trHeight w:val="380"/>
        </w:trPr>
        <w:tc>
          <w:tcPr>
            <w:tcW w:w="14746" w:type="dxa"/>
            <w:gridSpan w:val="4"/>
          </w:tcPr>
          <w:p w14:paraId="123A1BC6" w14:textId="21F050E1" w:rsidR="009F766C" w:rsidRPr="00641F06" w:rsidRDefault="00E97992" w:rsidP="00874C55">
            <w:pPr>
              <w:widowControl w:val="0"/>
              <w:tabs>
                <w:tab w:val="right" w:pos="9360"/>
              </w:tabs>
              <w:suppressAutoHyphens/>
              <w:autoSpaceDE w:val="0"/>
              <w:autoSpaceDN w:val="0"/>
              <w:spacing w:after="0" w:line="240" w:lineRule="auto"/>
              <w:ind w:left="348"/>
              <w:rPr>
                <w:rFonts w:ascii="Arial" w:eastAsia="Times New Roman" w:hAnsi="Arial" w:cs="Arial"/>
                <w:spacing w:val="-2"/>
              </w:rPr>
            </w:pPr>
            <w:r>
              <w:rPr>
                <w:rFonts w:ascii="Arial" w:eastAsia="Calibri" w:hAnsi="Arial" w:cs="Arial"/>
                <w:spacing w:val="-2"/>
              </w:rPr>
              <w:t>l</w:t>
            </w:r>
            <w:r w:rsidR="00874C55" w:rsidRPr="00641F06">
              <w:rPr>
                <w:rFonts w:ascii="Arial" w:eastAsia="Calibri" w:hAnsi="Arial" w:cs="Arial"/>
                <w:spacing w:val="-2"/>
              </w:rPr>
              <w:t xml:space="preserve">)   </w:t>
            </w:r>
            <w:r w:rsidR="009F766C" w:rsidRPr="00641F06">
              <w:rPr>
                <w:rFonts w:ascii="Arial" w:eastAsia="Calibri" w:hAnsi="Arial" w:cs="Arial"/>
                <w:spacing w:val="-2"/>
              </w:rPr>
              <w:t xml:space="preserve">The debt </w:t>
            </w:r>
            <w:r w:rsidR="009F766C" w:rsidRPr="00641F06">
              <w:rPr>
                <w:rFonts w:ascii="Arial" w:eastAsia="Calibri" w:hAnsi="Arial" w:cs="Arial"/>
              </w:rPr>
              <w:t>service coverage ratio (D</w:t>
            </w:r>
            <w:r w:rsidR="00641F06">
              <w:rPr>
                <w:rFonts w:ascii="Arial" w:eastAsia="Calibri" w:hAnsi="Arial" w:cs="Arial"/>
              </w:rPr>
              <w:t>SC</w:t>
            </w:r>
            <w:r w:rsidR="009F766C" w:rsidRPr="00641F06">
              <w:rPr>
                <w:rFonts w:ascii="Arial" w:eastAsia="Calibri" w:hAnsi="Arial" w:cs="Arial"/>
              </w:rPr>
              <w:t xml:space="preserve">R) must be no less than </w:t>
            </w:r>
            <w:r w:rsidR="009F766C" w:rsidRPr="00641F06">
              <w:rPr>
                <w:rFonts w:ascii="Arial" w:eastAsia="Calibri" w:hAnsi="Arial" w:cs="Arial"/>
                <w:b/>
                <w:bCs/>
              </w:rPr>
              <w:t>1.15</w:t>
            </w:r>
            <w:r w:rsidR="009F766C" w:rsidRPr="00641F06">
              <w:rPr>
                <w:rFonts w:ascii="Arial" w:eastAsia="Calibri" w:hAnsi="Arial" w:cs="Arial"/>
              </w:rPr>
              <w:t xml:space="preserve"> </w:t>
            </w:r>
            <w:r w:rsidR="00641F06">
              <w:rPr>
                <w:rFonts w:ascii="Arial" w:eastAsia="Calibri" w:hAnsi="Arial" w:cs="Arial"/>
              </w:rPr>
              <w:t xml:space="preserve">DSCR </w:t>
            </w:r>
            <w:r w:rsidR="009F766C" w:rsidRPr="00641F06">
              <w:rPr>
                <w:rFonts w:ascii="Arial" w:eastAsia="Calibri" w:hAnsi="Arial" w:cs="Arial"/>
              </w:rPr>
              <w:t>in the first year.  Monthly or annual debt service is not required.</w:t>
            </w:r>
          </w:p>
        </w:tc>
      </w:tr>
      <w:tr w:rsidR="009F766C" w:rsidRPr="00142DF6" w14:paraId="64DF4272" w14:textId="77777777" w:rsidTr="00EB4B17">
        <w:trPr>
          <w:trHeight w:val="395"/>
        </w:trPr>
        <w:tc>
          <w:tcPr>
            <w:tcW w:w="14746" w:type="dxa"/>
            <w:gridSpan w:val="4"/>
          </w:tcPr>
          <w:p w14:paraId="085FF8FA" w14:textId="17B26CBF" w:rsidR="009F766C" w:rsidRPr="00641F06" w:rsidRDefault="00E97992" w:rsidP="00874C55">
            <w:pPr>
              <w:widowControl w:val="0"/>
              <w:tabs>
                <w:tab w:val="right" w:pos="9360"/>
              </w:tabs>
              <w:suppressAutoHyphens/>
              <w:autoSpaceDE w:val="0"/>
              <w:autoSpaceDN w:val="0"/>
              <w:spacing w:after="0" w:line="240" w:lineRule="auto"/>
              <w:ind w:left="348"/>
              <w:rPr>
                <w:rFonts w:ascii="Arial" w:eastAsia="Times New Roman" w:hAnsi="Arial" w:cs="Arial"/>
                <w:spacing w:val="-2"/>
              </w:rPr>
            </w:pPr>
            <w:r>
              <w:rPr>
                <w:rFonts w:ascii="Arial" w:hAnsi="Arial" w:cs="Arial"/>
                <w:spacing w:val="-2"/>
              </w:rPr>
              <w:t>m</w:t>
            </w:r>
            <w:r w:rsidR="00874C55" w:rsidRPr="00641F06">
              <w:rPr>
                <w:rFonts w:ascii="Arial" w:hAnsi="Arial" w:cs="Arial"/>
                <w:spacing w:val="-2"/>
              </w:rPr>
              <w:t xml:space="preserve">)  </w:t>
            </w:r>
            <w:r w:rsidR="009F766C" w:rsidRPr="00641F06">
              <w:rPr>
                <w:rFonts w:ascii="Arial" w:hAnsi="Arial" w:cs="Arial"/>
                <w:spacing w:val="-2"/>
              </w:rPr>
              <w:t>Debt service payments must meet all debt service obligations (</w:t>
            </w:r>
            <w:r w:rsidR="009F766C" w:rsidRPr="00641F06">
              <w:rPr>
                <w:rFonts w:ascii="Arial" w:hAnsi="Arial" w:cs="Arial"/>
              </w:rPr>
              <w:t xml:space="preserve">must maintain a </w:t>
            </w:r>
            <w:r w:rsidR="009F766C" w:rsidRPr="00641F06">
              <w:rPr>
                <w:rFonts w:ascii="Arial" w:hAnsi="Arial" w:cs="Arial"/>
                <w:b/>
                <w:bCs/>
              </w:rPr>
              <w:t>1.0 DSCR</w:t>
            </w:r>
            <w:r w:rsidR="009F766C" w:rsidRPr="00641F06">
              <w:rPr>
                <w:rFonts w:ascii="Arial" w:hAnsi="Arial" w:cs="Arial"/>
              </w:rPr>
              <w:t xml:space="preserve"> throughout the affordability period).</w:t>
            </w:r>
          </w:p>
        </w:tc>
      </w:tr>
    </w:tbl>
    <w:p w14:paraId="6D2F8220" w14:textId="12E73C7B" w:rsidR="003F1901" w:rsidRPr="003F1901" w:rsidRDefault="003F1901" w:rsidP="00641F06">
      <w:pPr>
        <w:tabs>
          <w:tab w:val="left" w:pos="8784"/>
        </w:tabs>
        <w:rPr>
          <w:rFonts w:ascii="Arial" w:hAnsi="Arial" w:cs="Arial"/>
        </w:rPr>
      </w:pPr>
      <w:r>
        <w:rPr>
          <w:rFonts w:ascii="Arial" w:hAnsi="Arial" w:cs="Arial"/>
        </w:rPr>
        <w:tab/>
      </w:r>
    </w:p>
    <w:sectPr w:rsidR="003F1901" w:rsidRPr="003F1901" w:rsidSect="008200DD">
      <w:footerReference w:type="default" r:id="rId10"/>
      <w:pgSz w:w="15840" w:h="12240" w:orient="landscape"/>
      <w:pgMar w:top="288" w:right="1260" w:bottom="72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6E404" w14:textId="77777777" w:rsidR="002D5B37" w:rsidRDefault="002D5B37" w:rsidP="00712F78">
      <w:pPr>
        <w:spacing w:after="0" w:line="240" w:lineRule="auto"/>
      </w:pPr>
      <w:r>
        <w:separator/>
      </w:r>
    </w:p>
  </w:endnote>
  <w:endnote w:type="continuationSeparator" w:id="0">
    <w:p w14:paraId="54739365" w14:textId="77777777" w:rsidR="002D5B37" w:rsidRDefault="002D5B37" w:rsidP="00712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E71A4" w14:textId="288213D0" w:rsidR="00712F78" w:rsidRPr="00887D3A" w:rsidRDefault="005C5C3C" w:rsidP="00887D3A">
    <w:pPr>
      <w:tabs>
        <w:tab w:val="center" w:pos="4320"/>
        <w:tab w:val="right" w:pos="8640"/>
      </w:tabs>
      <w:spacing w:after="0" w:line="240" w:lineRule="auto"/>
      <w:jc w:val="center"/>
      <w:rPr>
        <w:rFonts w:ascii="Calibri" w:eastAsia="Times New Roman" w:hAnsi="Calibri" w:cs="Times New Roman"/>
        <w:sz w:val="18"/>
        <w:szCs w:val="24"/>
      </w:rPr>
    </w:pPr>
    <w:r>
      <w:rPr>
        <w:rFonts w:ascii="Calibri" w:eastAsia="Times New Roman" w:hAnsi="Calibri" w:cs="Times New Roman"/>
        <w:sz w:val="18"/>
        <w:szCs w:val="24"/>
      </w:rPr>
      <w:t xml:space="preserve">2024 </w:t>
    </w:r>
    <w:r w:rsidR="00887D3A">
      <w:rPr>
        <w:rFonts w:ascii="Calibri" w:eastAsia="Times New Roman" w:hAnsi="Calibri" w:cs="Times New Roman"/>
        <w:sz w:val="18"/>
        <w:szCs w:val="24"/>
      </w:rPr>
      <w:t>Rental Program Guidelines</w:t>
    </w:r>
    <w:r w:rsidR="00712F78" w:rsidRPr="00712F78">
      <w:rPr>
        <w:rFonts w:ascii="Calibri" w:eastAsia="Times New Roman" w:hAnsi="Calibri" w:cs="Times New Roman"/>
        <w:sz w:val="18"/>
        <w:szCs w:val="24"/>
      </w:rPr>
      <w:t xml:space="preserve"> Checklist</w:t>
    </w:r>
    <w:r w:rsidR="00BA630B">
      <w:rPr>
        <w:rFonts w:ascii="Calibri" w:eastAsia="Times New Roman" w:hAnsi="Calibri" w:cs="Times New Roman"/>
        <w:sz w:val="18"/>
        <w:szCs w:val="24"/>
      </w:rPr>
      <w:t xml:space="preserve"> –</w:t>
    </w:r>
    <w:r w:rsidR="001F0F23">
      <w:rPr>
        <w:rFonts w:ascii="Calibri" w:eastAsia="Times New Roman" w:hAnsi="Calibri" w:cs="Times New Roman"/>
        <w:sz w:val="18"/>
        <w:szCs w:val="24"/>
      </w:rPr>
      <w:t>March</w:t>
    </w:r>
    <w:r w:rsidR="003F1901">
      <w:rPr>
        <w:rFonts w:ascii="Calibri" w:eastAsia="Times New Roman" w:hAnsi="Calibri" w:cs="Times New Roman"/>
        <w:sz w:val="18"/>
        <w:szCs w:val="24"/>
      </w:rPr>
      <w:t xml:space="preserve"> 2024</w:t>
    </w:r>
  </w:p>
  <w:p w14:paraId="210A8390" w14:textId="7C4A9327" w:rsidR="00712F78" w:rsidRPr="00712F78" w:rsidRDefault="005F7E2B" w:rsidP="00712F78">
    <w:pPr>
      <w:tabs>
        <w:tab w:val="center" w:pos="4320"/>
        <w:tab w:val="right" w:pos="8640"/>
      </w:tabs>
      <w:spacing w:after="0" w:line="240" w:lineRule="auto"/>
      <w:jc w:val="center"/>
      <w:rPr>
        <w:rFonts w:ascii="Calibri" w:eastAsia="Times New Roman" w:hAnsi="Calibri" w:cs="Times New Roman"/>
        <w:sz w:val="18"/>
        <w:szCs w:val="24"/>
      </w:rPr>
    </w:pPr>
    <w:r>
      <w:rPr>
        <w:rFonts w:ascii="Calibri" w:eastAsia="Times New Roman" w:hAnsi="Calibri" w:cs="Times New Roman"/>
        <w:snapToGrid w:val="0"/>
        <w:sz w:val="18"/>
        <w:szCs w:val="24"/>
      </w:rPr>
      <w:t xml:space="preserve"> </w:t>
    </w:r>
    <w:r w:rsidR="00712F78" w:rsidRPr="00712F78">
      <w:rPr>
        <w:rFonts w:ascii="Calibri" w:eastAsia="Times New Roman" w:hAnsi="Calibri" w:cs="Times New Roman"/>
        <w:snapToGrid w:val="0"/>
        <w:sz w:val="18"/>
        <w:szCs w:val="24"/>
      </w:rPr>
      <w:t xml:space="preserve">Page </w:t>
    </w:r>
    <w:r w:rsidR="00712F78" w:rsidRPr="00712F78">
      <w:rPr>
        <w:rFonts w:ascii="Calibri" w:eastAsia="Times New Roman" w:hAnsi="Calibri" w:cs="Times New Roman"/>
        <w:snapToGrid w:val="0"/>
        <w:sz w:val="18"/>
        <w:szCs w:val="24"/>
      </w:rPr>
      <w:fldChar w:fldCharType="begin"/>
    </w:r>
    <w:r w:rsidR="00712F78" w:rsidRPr="00712F78">
      <w:rPr>
        <w:rFonts w:ascii="Calibri" w:eastAsia="Times New Roman" w:hAnsi="Calibri" w:cs="Times New Roman"/>
        <w:snapToGrid w:val="0"/>
        <w:sz w:val="18"/>
        <w:szCs w:val="24"/>
      </w:rPr>
      <w:instrText xml:space="preserve"> PAGE </w:instrText>
    </w:r>
    <w:r w:rsidR="00712F78" w:rsidRPr="00712F78">
      <w:rPr>
        <w:rFonts w:ascii="Calibri" w:eastAsia="Times New Roman" w:hAnsi="Calibri" w:cs="Times New Roman"/>
        <w:snapToGrid w:val="0"/>
        <w:sz w:val="18"/>
        <w:szCs w:val="24"/>
      </w:rPr>
      <w:fldChar w:fldCharType="separate"/>
    </w:r>
    <w:r w:rsidR="001D7FD5">
      <w:rPr>
        <w:rFonts w:ascii="Calibri" w:eastAsia="Times New Roman" w:hAnsi="Calibri" w:cs="Times New Roman"/>
        <w:noProof/>
        <w:snapToGrid w:val="0"/>
        <w:sz w:val="18"/>
        <w:szCs w:val="24"/>
      </w:rPr>
      <w:t>3</w:t>
    </w:r>
    <w:r w:rsidR="00712F78" w:rsidRPr="00712F78">
      <w:rPr>
        <w:rFonts w:ascii="Calibri" w:eastAsia="Times New Roman" w:hAnsi="Calibri" w:cs="Times New Roman"/>
        <w:snapToGrid w:val="0"/>
        <w:sz w:val="18"/>
        <w:szCs w:val="24"/>
      </w:rPr>
      <w:fldChar w:fldCharType="end"/>
    </w:r>
    <w:r w:rsidR="00712F78" w:rsidRPr="00712F78">
      <w:rPr>
        <w:rFonts w:ascii="Calibri" w:eastAsia="Times New Roman" w:hAnsi="Calibri" w:cs="Times New Roman"/>
        <w:snapToGrid w:val="0"/>
        <w:sz w:val="18"/>
        <w:szCs w:val="24"/>
      </w:rPr>
      <w:t xml:space="preserve"> of </w:t>
    </w:r>
    <w:r w:rsidR="00712F78" w:rsidRPr="00712F78">
      <w:rPr>
        <w:rFonts w:ascii="Calibri" w:eastAsia="Times New Roman" w:hAnsi="Calibri" w:cs="Times New Roman"/>
        <w:snapToGrid w:val="0"/>
        <w:sz w:val="18"/>
        <w:szCs w:val="24"/>
      </w:rPr>
      <w:fldChar w:fldCharType="begin"/>
    </w:r>
    <w:r w:rsidR="00712F78" w:rsidRPr="00712F78">
      <w:rPr>
        <w:rFonts w:ascii="Calibri" w:eastAsia="Times New Roman" w:hAnsi="Calibri" w:cs="Times New Roman"/>
        <w:snapToGrid w:val="0"/>
        <w:sz w:val="18"/>
        <w:szCs w:val="24"/>
      </w:rPr>
      <w:instrText xml:space="preserve"> NUMPAGES </w:instrText>
    </w:r>
    <w:r w:rsidR="00712F78" w:rsidRPr="00712F78">
      <w:rPr>
        <w:rFonts w:ascii="Calibri" w:eastAsia="Times New Roman" w:hAnsi="Calibri" w:cs="Times New Roman"/>
        <w:snapToGrid w:val="0"/>
        <w:sz w:val="18"/>
        <w:szCs w:val="24"/>
      </w:rPr>
      <w:fldChar w:fldCharType="separate"/>
    </w:r>
    <w:r w:rsidR="001D7FD5">
      <w:rPr>
        <w:rFonts w:ascii="Calibri" w:eastAsia="Times New Roman" w:hAnsi="Calibri" w:cs="Times New Roman"/>
        <w:noProof/>
        <w:snapToGrid w:val="0"/>
        <w:sz w:val="18"/>
        <w:szCs w:val="24"/>
      </w:rPr>
      <w:t>4</w:t>
    </w:r>
    <w:r w:rsidR="00712F78" w:rsidRPr="00712F78">
      <w:rPr>
        <w:rFonts w:ascii="Calibri" w:eastAsia="Times New Roman" w:hAnsi="Calibri" w:cs="Times New Roman"/>
        <w:snapToGrid w:val="0"/>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A219A" w14:textId="77777777" w:rsidR="002D5B37" w:rsidRDefault="002D5B37" w:rsidP="00712F78">
      <w:pPr>
        <w:spacing w:after="0" w:line="240" w:lineRule="auto"/>
      </w:pPr>
      <w:r>
        <w:separator/>
      </w:r>
    </w:p>
  </w:footnote>
  <w:footnote w:type="continuationSeparator" w:id="0">
    <w:p w14:paraId="6A532A9D" w14:textId="77777777" w:rsidR="002D5B37" w:rsidRDefault="002D5B37" w:rsidP="00712F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7511"/>
    <w:multiLevelType w:val="hybridMultilevel"/>
    <w:tmpl w:val="C2F27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015ED"/>
    <w:multiLevelType w:val="hybridMultilevel"/>
    <w:tmpl w:val="6BB0C65A"/>
    <w:lvl w:ilvl="0" w:tplc="0D9456E6">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32D4A"/>
    <w:multiLevelType w:val="hybridMultilevel"/>
    <w:tmpl w:val="C3E22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C07E9C"/>
    <w:multiLevelType w:val="hybridMultilevel"/>
    <w:tmpl w:val="F084A652"/>
    <w:lvl w:ilvl="0" w:tplc="1A24265C">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694ED5"/>
    <w:multiLevelType w:val="hybridMultilevel"/>
    <w:tmpl w:val="EE14F9D8"/>
    <w:lvl w:ilvl="0" w:tplc="03B449CE">
      <w:start w:val="1"/>
      <w:numFmt w:val="lowerLetter"/>
      <w:lvlText w:val="%1)"/>
      <w:lvlJc w:val="left"/>
      <w:pPr>
        <w:ind w:left="1068" w:hanging="360"/>
      </w:pPr>
      <w:rPr>
        <w:rFonts w:ascii="Arial" w:hAnsi="Arial" w:cs="Arial"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4263167C"/>
    <w:multiLevelType w:val="hybridMultilevel"/>
    <w:tmpl w:val="8040BA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AA21B9"/>
    <w:multiLevelType w:val="hybridMultilevel"/>
    <w:tmpl w:val="D7149EFE"/>
    <w:lvl w:ilvl="0" w:tplc="21EE250C">
      <w:start w:val="3"/>
      <w:numFmt w:val="lowerLetter"/>
      <w:lvlText w:val="%1)"/>
      <w:lvlJc w:val="left"/>
      <w:pPr>
        <w:ind w:left="1080" w:hanging="36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CF09A9"/>
    <w:multiLevelType w:val="hybridMultilevel"/>
    <w:tmpl w:val="BAD63786"/>
    <w:lvl w:ilvl="0" w:tplc="46C8E13E">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FC7EEA"/>
    <w:multiLevelType w:val="hybridMultilevel"/>
    <w:tmpl w:val="5C70AA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B22143"/>
    <w:multiLevelType w:val="hybridMultilevel"/>
    <w:tmpl w:val="7D78CF64"/>
    <w:lvl w:ilvl="0" w:tplc="BE845254">
      <w:start w:val="1"/>
      <w:numFmt w:val="lowerLetter"/>
      <w:lvlText w:val="%1)"/>
      <w:lvlJc w:val="left"/>
      <w:pPr>
        <w:ind w:left="720" w:hanging="360"/>
      </w:pPr>
      <w:rPr>
        <w:b w:val="0"/>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C81BEC"/>
    <w:multiLevelType w:val="hybridMultilevel"/>
    <w:tmpl w:val="EA22B85C"/>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142310525">
    <w:abstractNumId w:val="2"/>
  </w:num>
  <w:num w:numId="2" w16cid:durableId="661083289">
    <w:abstractNumId w:val="6"/>
  </w:num>
  <w:num w:numId="3" w16cid:durableId="1724795467">
    <w:abstractNumId w:val="1"/>
  </w:num>
  <w:num w:numId="4" w16cid:durableId="2080907980">
    <w:abstractNumId w:val="8"/>
  </w:num>
  <w:num w:numId="5" w16cid:durableId="852375452">
    <w:abstractNumId w:val="5"/>
  </w:num>
  <w:num w:numId="6" w16cid:durableId="1498299767">
    <w:abstractNumId w:val="0"/>
  </w:num>
  <w:num w:numId="7" w16cid:durableId="1669946179">
    <w:abstractNumId w:val="9"/>
  </w:num>
  <w:num w:numId="8" w16cid:durableId="362480757">
    <w:abstractNumId w:val="3"/>
  </w:num>
  <w:num w:numId="9" w16cid:durableId="393630095">
    <w:abstractNumId w:val="7"/>
  </w:num>
  <w:num w:numId="10" w16cid:durableId="1092357822">
    <w:abstractNumId w:val="4"/>
  </w:num>
  <w:num w:numId="11" w16cid:durableId="14654661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EAC"/>
    <w:rsid w:val="00000B6C"/>
    <w:rsid w:val="00024D67"/>
    <w:rsid w:val="00054D24"/>
    <w:rsid w:val="0007244B"/>
    <w:rsid w:val="00081FD1"/>
    <w:rsid w:val="00096FA7"/>
    <w:rsid w:val="000B19F4"/>
    <w:rsid w:val="000F1441"/>
    <w:rsid w:val="00135130"/>
    <w:rsid w:val="00142DF6"/>
    <w:rsid w:val="00182F22"/>
    <w:rsid w:val="001A21ED"/>
    <w:rsid w:val="001D519D"/>
    <w:rsid w:val="001D7FD5"/>
    <w:rsid w:val="001E0D3A"/>
    <w:rsid w:val="001F0F23"/>
    <w:rsid w:val="00221F90"/>
    <w:rsid w:val="00223325"/>
    <w:rsid w:val="00231953"/>
    <w:rsid w:val="00233EBA"/>
    <w:rsid w:val="00247547"/>
    <w:rsid w:val="00286AFC"/>
    <w:rsid w:val="00292520"/>
    <w:rsid w:val="00293239"/>
    <w:rsid w:val="002939DD"/>
    <w:rsid w:val="002B29A9"/>
    <w:rsid w:val="002D5B37"/>
    <w:rsid w:val="002F06BE"/>
    <w:rsid w:val="00313F44"/>
    <w:rsid w:val="00327A55"/>
    <w:rsid w:val="00334A67"/>
    <w:rsid w:val="00336453"/>
    <w:rsid w:val="0034084A"/>
    <w:rsid w:val="00357562"/>
    <w:rsid w:val="003636AD"/>
    <w:rsid w:val="00363A02"/>
    <w:rsid w:val="003C1D00"/>
    <w:rsid w:val="003D0B0F"/>
    <w:rsid w:val="003F1901"/>
    <w:rsid w:val="003F1C8A"/>
    <w:rsid w:val="0040599D"/>
    <w:rsid w:val="00410D5B"/>
    <w:rsid w:val="0041123F"/>
    <w:rsid w:val="00412637"/>
    <w:rsid w:val="00443BEF"/>
    <w:rsid w:val="004667F9"/>
    <w:rsid w:val="004851DE"/>
    <w:rsid w:val="004900AB"/>
    <w:rsid w:val="004A158C"/>
    <w:rsid w:val="004B5D94"/>
    <w:rsid w:val="004C448F"/>
    <w:rsid w:val="004C79DC"/>
    <w:rsid w:val="004D62BE"/>
    <w:rsid w:val="00502D4F"/>
    <w:rsid w:val="005045B6"/>
    <w:rsid w:val="00526075"/>
    <w:rsid w:val="0053207D"/>
    <w:rsid w:val="0053420B"/>
    <w:rsid w:val="00542445"/>
    <w:rsid w:val="005450CB"/>
    <w:rsid w:val="005460D2"/>
    <w:rsid w:val="00546227"/>
    <w:rsid w:val="0058514E"/>
    <w:rsid w:val="0059039F"/>
    <w:rsid w:val="005C49AA"/>
    <w:rsid w:val="005C5C3C"/>
    <w:rsid w:val="005C7241"/>
    <w:rsid w:val="005F5FB6"/>
    <w:rsid w:val="005F7E2B"/>
    <w:rsid w:val="00604EDA"/>
    <w:rsid w:val="00641F06"/>
    <w:rsid w:val="00644247"/>
    <w:rsid w:val="00667FB4"/>
    <w:rsid w:val="00693259"/>
    <w:rsid w:val="00696A28"/>
    <w:rsid w:val="006A3379"/>
    <w:rsid w:val="006A3475"/>
    <w:rsid w:val="006B12C5"/>
    <w:rsid w:val="006D3370"/>
    <w:rsid w:val="006E38DB"/>
    <w:rsid w:val="006E651B"/>
    <w:rsid w:val="00702ECD"/>
    <w:rsid w:val="00702FFD"/>
    <w:rsid w:val="00706B76"/>
    <w:rsid w:val="00712F78"/>
    <w:rsid w:val="007210C6"/>
    <w:rsid w:val="00741CA1"/>
    <w:rsid w:val="007428DD"/>
    <w:rsid w:val="00751A63"/>
    <w:rsid w:val="00762945"/>
    <w:rsid w:val="00771B8E"/>
    <w:rsid w:val="007F54A0"/>
    <w:rsid w:val="007F57A1"/>
    <w:rsid w:val="008200DD"/>
    <w:rsid w:val="00833FC0"/>
    <w:rsid w:val="00836111"/>
    <w:rsid w:val="008613C6"/>
    <w:rsid w:val="0086414F"/>
    <w:rsid w:val="00872CA2"/>
    <w:rsid w:val="00874C55"/>
    <w:rsid w:val="00882887"/>
    <w:rsid w:val="00887D3A"/>
    <w:rsid w:val="008B1685"/>
    <w:rsid w:val="008B2EBF"/>
    <w:rsid w:val="008B67C8"/>
    <w:rsid w:val="008F0EAC"/>
    <w:rsid w:val="008F40D5"/>
    <w:rsid w:val="00907956"/>
    <w:rsid w:val="00932BF3"/>
    <w:rsid w:val="0093322E"/>
    <w:rsid w:val="00943384"/>
    <w:rsid w:val="009A1F61"/>
    <w:rsid w:val="009A3AE6"/>
    <w:rsid w:val="009E01A2"/>
    <w:rsid w:val="009E3A3F"/>
    <w:rsid w:val="009F18CB"/>
    <w:rsid w:val="009F766C"/>
    <w:rsid w:val="00A178DE"/>
    <w:rsid w:val="00A313F2"/>
    <w:rsid w:val="00A606D7"/>
    <w:rsid w:val="00A62C71"/>
    <w:rsid w:val="00AD6AD5"/>
    <w:rsid w:val="00B37CD7"/>
    <w:rsid w:val="00B4161C"/>
    <w:rsid w:val="00B70483"/>
    <w:rsid w:val="00B903A5"/>
    <w:rsid w:val="00BA630B"/>
    <w:rsid w:val="00BE0F80"/>
    <w:rsid w:val="00BE1370"/>
    <w:rsid w:val="00BF4735"/>
    <w:rsid w:val="00C06795"/>
    <w:rsid w:val="00C224AB"/>
    <w:rsid w:val="00C43361"/>
    <w:rsid w:val="00C47F7B"/>
    <w:rsid w:val="00C56241"/>
    <w:rsid w:val="00CB6616"/>
    <w:rsid w:val="00CC0164"/>
    <w:rsid w:val="00CC48BF"/>
    <w:rsid w:val="00CC6295"/>
    <w:rsid w:val="00CE7ABC"/>
    <w:rsid w:val="00CF2248"/>
    <w:rsid w:val="00D05470"/>
    <w:rsid w:val="00D057C4"/>
    <w:rsid w:val="00D33209"/>
    <w:rsid w:val="00D5347C"/>
    <w:rsid w:val="00D845CD"/>
    <w:rsid w:val="00DA4A00"/>
    <w:rsid w:val="00DB5808"/>
    <w:rsid w:val="00DC7B4B"/>
    <w:rsid w:val="00DD3837"/>
    <w:rsid w:val="00E16D41"/>
    <w:rsid w:val="00E17FBA"/>
    <w:rsid w:val="00E3593C"/>
    <w:rsid w:val="00E53609"/>
    <w:rsid w:val="00E65FB9"/>
    <w:rsid w:val="00E67F4B"/>
    <w:rsid w:val="00E72AC8"/>
    <w:rsid w:val="00E82410"/>
    <w:rsid w:val="00E97992"/>
    <w:rsid w:val="00EB4B17"/>
    <w:rsid w:val="00EC37BA"/>
    <w:rsid w:val="00EC694A"/>
    <w:rsid w:val="00EF5F64"/>
    <w:rsid w:val="00F15C18"/>
    <w:rsid w:val="00F31390"/>
    <w:rsid w:val="00F3228C"/>
    <w:rsid w:val="00F45D42"/>
    <w:rsid w:val="00F50600"/>
    <w:rsid w:val="00F71899"/>
    <w:rsid w:val="00F72C59"/>
    <w:rsid w:val="00F928EB"/>
    <w:rsid w:val="00F959A4"/>
    <w:rsid w:val="00FD201C"/>
    <w:rsid w:val="00FE1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75352"/>
  <w15:chartTrackingRefBased/>
  <w15:docId w15:val="{E02BF4C8-C8E2-42B8-BD18-8C4B273B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text">
    <w:name w:val="toctext"/>
    <w:basedOn w:val="Normal"/>
    <w:rsid w:val="008F0EAC"/>
    <w:pPr>
      <w:tabs>
        <w:tab w:val="right" w:leader="dot" w:pos="10080"/>
      </w:tabs>
      <w:spacing w:after="0" w:line="228" w:lineRule="auto"/>
    </w:pPr>
    <w:rPr>
      <w:rFonts w:ascii="Times New Roman" w:eastAsia="Times New Roman" w:hAnsi="Times New Roman" w:cs="Times New Roman"/>
      <w:sz w:val="20"/>
      <w:szCs w:val="24"/>
    </w:rPr>
  </w:style>
  <w:style w:type="character" w:styleId="Hyperlink">
    <w:name w:val="Hyperlink"/>
    <w:uiPriority w:val="99"/>
    <w:semiHidden/>
    <w:rsid w:val="008F0EAC"/>
    <w:rPr>
      <w:color w:val="0000FF"/>
      <w:u w:val="single"/>
    </w:rPr>
  </w:style>
  <w:style w:type="paragraph" w:styleId="Header">
    <w:name w:val="header"/>
    <w:basedOn w:val="Normal"/>
    <w:link w:val="HeaderChar"/>
    <w:uiPriority w:val="99"/>
    <w:rsid w:val="008F0EA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0EA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2F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F78"/>
  </w:style>
  <w:style w:type="paragraph" w:styleId="BalloonText">
    <w:name w:val="Balloon Text"/>
    <w:basedOn w:val="Normal"/>
    <w:link w:val="BalloonTextChar"/>
    <w:uiPriority w:val="99"/>
    <w:semiHidden/>
    <w:unhideWhenUsed/>
    <w:rsid w:val="005F7E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E2B"/>
    <w:rPr>
      <w:rFonts w:ascii="Segoe UI" w:hAnsi="Segoe UI" w:cs="Segoe UI"/>
      <w:sz w:val="18"/>
      <w:szCs w:val="18"/>
    </w:rPr>
  </w:style>
  <w:style w:type="character" w:styleId="FollowedHyperlink">
    <w:name w:val="FollowedHyperlink"/>
    <w:basedOn w:val="DefaultParagraphFont"/>
    <w:uiPriority w:val="99"/>
    <w:semiHidden/>
    <w:unhideWhenUsed/>
    <w:rsid w:val="00F71899"/>
    <w:rPr>
      <w:color w:val="954F72" w:themeColor="followedHyperlink"/>
      <w:u w:val="single"/>
    </w:rPr>
  </w:style>
  <w:style w:type="paragraph" w:styleId="ListParagraph">
    <w:name w:val="List Paragraph"/>
    <w:basedOn w:val="Normal"/>
    <w:uiPriority w:val="34"/>
    <w:qFormat/>
    <w:rsid w:val="00F45D42"/>
    <w:pPr>
      <w:ind w:left="720"/>
      <w:contextualSpacing/>
    </w:pPr>
  </w:style>
  <w:style w:type="character" w:styleId="CommentReference">
    <w:name w:val="annotation reference"/>
    <w:basedOn w:val="DefaultParagraphFont"/>
    <w:uiPriority w:val="99"/>
    <w:semiHidden/>
    <w:unhideWhenUsed/>
    <w:rsid w:val="00F45D42"/>
    <w:rPr>
      <w:sz w:val="16"/>
      <w:szCs w:val="16"/>
    </w:rPr>
  </w:style>
  <w:style w:type="paragraph" w:styleId="CommentText">
    <w:name w:val="annotation text"/>
    <w:basedOn w:val="Normal"/>
    <w:link w:val="CommentTextChar"/>
    <w:uiPriority w:val="99"/>
    <w:unhideWhenUsed/>
    <w:rsid w:val="00F45D42"/>
    <w:pPr>
      <w:spacing w:line="240" w:lineRule="auto"/>
    </w:pPr>
    <w:rPr>
      <w:sz w:val="20"/>
      <w:szCs w:val="20"/>
    </w:rPr>
  </w:style>
  <w:style w:type="character" w:customStyle="1" w:styleId="CommentTextChar">
    <w:name w:val="Comment Text Char"/>
    <w:basedOn w:val="DefaultParagraphFont"/>
    <w:link w:val="CommentText"/>
    <w:uiPriority w:val="99"/>
    <w:rsid w:val="00F45D42"/>
    <w:rPr>
      <w:sz w:val="20"/>
      <w:szCs w:val="20"/>
    </w:rPr>
  </w:style>
  <w:style w:type="paragraph" w:styleId="CommentSubject">
    <w:name w:val="annotation subject"/>
    <w:basedOn w:val="CommentText"/>
    <w:next w:val="CommentText"/>
    <w:link w:val="CommentSubjectChar"/>
    <w:uiPriority w:val="99"/>
    <w:semiHidden/>
    <w:unhideWhenUsed/>
    <w:rsid w:val="00F45D42"/>
    <w:rPr>
      <w:b/>
      <w:bCs/>
    </w:rPr>
  </w:style>
  <w:style w:type="character" w:customStyle="1" w:styleId="CommentSubjectChar">
    <w:name w:val="Comment Subject Char"/>
    <w:basedOn w:val="CommentTextChar"/>
    <w:link w:val="CommentSubject"/>
    <w:uiPriority w:val="99"/>
    <w:semiHidden/>
    <w:rsid w:val="00F45D42"/>
    <w:rPr>
      <w:b/>
      <w:bCs/>
      <w:sz w:val="20"/>
      <w:szCs w:val="20"/>
    </w:rPr>
  </w:style>
  <w:style w:type="paragraph" w:styleId="NoSpacing">
    <w:name w:val="No Spacing"/>
    <w:uiPriority w:val="1"/>
    <w:qFormat/>
    <w:rsid w:val="000B19F4"/>
    <w:pPr>
      <w:spacing w:after="0" w:line="240" w:lineRule="auto"/>
    </w:pPr>
  </w:style>
  <w:style w:type="character" w:styleId="UnresolvedMention">
    <w:name w:val="Unresolved Mention"/>
    <w:basedOn w:val="DefaultParagraphFont"/>
    <w:uiPriority w:val="99"/>
    <w:semiHidden/>
    <w:unhideWhenUsed/>
    <w:rsid w:val="00C56241"/>
    <w:rPr>
      <w:color w:val="605E5C"/>
      <w:shd w:val="clear" w:color="auto" w:fill="E1DFDD"/>
    </w:rPr>
  </w:style>
  <w:style w:type="paragraph" w:styleId="Revision">
    <w:name w:val="Revision"/>
    <w:hidden/>
    <w:uiPriority w:val="99"/>
    <w:semiHidden/>
    <w:rsid w:val="002925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portunity.nebraska.gov/naht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hhs.ne.gov/Pages/Rad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E25CA-7E35-4611-852B-CE05F1BF1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1818</Words>
  <Characters>10367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Evan</dc:creator>
  <cp:keywords/>
  <dc:description/>
  <cp:lastModifiedBy>Pierce, Barb</cp:lastModifiedBy>
  <cp:revision>5</cp:revision>
  <cp:lastPrinted>2020-01-30T19:24:00Z</cp:lastPrinted>
  <dcterms:created xsi:type="dcterms:W3CDTF">2024-02-22T12:36:00Z</dcterms:created>
  <dcterms:modified xsi:type="dcterms:W3CDTF">2024-02-29T21:38:00Z</dcterms:modified>
</cp:coreProperties>
</file>